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9B8" w:rsidRDefault="001C19B8" w:rsidP="001C19B8">
      <w:pPr>
        <w:rPr>
          <w:b/>
        </w:rPr>
      </w:pPr>
    </w:p>
    <w:p w:rsidR="001C19B8" w:rsidRDefault="001C19B8" w:rsidP="001C19B8">
      <w:pPr>
        <w:rPr>
          <w:b/>
        </w:rPr>
      </w:pPr>
    </w:p>
    <w:p w:rsidR="001C19B8" w:rsidRDefault="001C19B8" w:rsidP="001C19B8">
      <w:pPr>
        <w:rPr>
          <w:b/>
        </w:rPr>
      </w:pPr>
    </w:p>
    <w:p w:rsidR="001C19B8" w:rsidRPr="001C19B8" w:rsidRDefault="001C19B8" w:rsidP="001C19B8">
      <w:pPr>
        <w:rPr>
          <w:b/>
          <w:sz w:val="28"/>
          <w:szCs w:val="28"/>
        </w:rPr>
      </w:pPr>
      <w:r w:rsidRPr="001C19B8">
        <w:rPr>
          <w:b/>
          <w:sz w:val="28"/>
          <w:szCs w:val="28"/>
        </w:rPr>
        <w:t xml:space="preserve">Projekt </w:t>
      </w:r>
      <w:r w:rsidR="003E5335">
        <w:rPr>
          <w:b/>
          <w:sz w:val="28"/>
          <w:szCs w:val="28"/>
        </w:rPr>
        <w:t>Studiecirkel</w:t>
      </w:r>
      <w:r w:rsidRPr="001C19B8">
        <w:rPr>
          <w:b/>
          <w:sz w:val="28"/>
          <w:szCs w:val="28"/>
        </w:rPr>
        <w:t xml:space="preserve"> läkemedelshantering</w:t>
      </w:r>
    </w:p>
    <w:p w:rsidR="001C19B8" w:rsidRPr="001C19B8" w:rsidRDefault="001C19B8" w:rsidP="001C19B8">
      <w:pPr>
        <w:rPr>
          <w:rFonts w:cstheme="minorHAnsi"/>
        </w:rPr>
      </w:pPr>
      <w:r w:rsidRPr="001C19B8">
        <w:rPr>
          <w:b/>
          <w:sz w:val="28"/>
          <w:szCs w:val="28"/>
        </w:rPr>
        <w:t>Bakgrund</w:t>
      </w:r>
      <w:r w:rsidRPr="001C19B8">
        <w:br/>
        <w:t xml:space="preserve">Läkemedel är en av vårdens viktigaste verktyg för att behandla patienter. Det är samtidigt potenta kemikalier med stora risker om de används fel. Vården behöver säkerställa att rätt patient får rätt läkemedel i rätt dos vid rätt tidpunkt. Ett av sätten är att arbeta med den praktiska </w:t>
      </w:r>
      <w:r w:rsidRPr="001C19B8">
        <w:rPr>
          <w:rFonts w:cstheme="minorHAnsi"/>
        </w:rPr>
        <w:t>läkemedelshanteringen. Identifierade riskområden där det kan bli fel är till exempel:</w:t>
      </w:r>
    </w:p>
    <w:p w:rsidR="001C19B8" w:rsidRPr="001C19B8" w:rsidRDefault="001C19B8" w:rsidP="001C19B8">
      <w:pPr>
        <w:numPr>
          <w:ilvl w:val="0"/>
          <w:numId w:val="5"/>
        </w:numPr>
        <w:contextualSpacing/>
        <w:rPr>
          <w:rFonts w:eastAsia="Times New Roman" w:cstheme="minorHAnsi"/>
          <w:sz w:val="24"/>
          <w:szCs w:val="24"/>
          <w:lang w:eastAsia="sv-SE"/>
        </w:rPr>
      </w:pPr>
      <w:r w:rsidRPr="001C19B8">
        <w:rPr>
          <w:rFonts w:eastAsia="Times New Roman" w:cstheme="minorHAnsi"/>
          <w:sz w:val="24"/>
          <w:szCs w:val="24"/>
          <w:lang w:eastAsia="sv-SE"/>
        </w:rPr>
        <w:t>Ordination: kan vara otydlig, saknas eller vara felande</w:t>
      </w:r>
    </w:p>
    <w:p w:rsidR="001C19B8" w:rsidRPr="001C19B8" w:rsidRDefault="001C19B8" w:rsidP="001C19B8">
      <w:pPr>
        <w:numPr>
          <w:ilvl w:val="0"/>
          <w:numId w:val="5"/>
        </w:numPr>
        <w:contextualSpacing/>
        <w:rPr>
          <w:rFonts w:eastAsia="Times New Roman" w:cstheme="minorHAnsi"/>
          <w:sz w:val="24"/>
          <w:szCs w:val="24"/>
          <w:lang w:eastAsia="sv-SE"/>
        </w:rPr>
      </w:pPr>
      <w:r w:rsidRPr="001C19B8">
        <w:rPr>
          <w:rFonts w:eastAsia="Times New Roman" w:cstheme="minorHAnsi"/>
          <w:sz w:val="24"/>
          <w:szCs w:val="24"/>
          <w:lang w:eastAsia="sv-SE"/>
        </w:rPr>
        <w:t>Iordningställande av läkemedel: finns det risker i hur läkemedlen förvaras, kan man blanda ihop produkter med likartade namn, kan man blanda ihop patienternas identiteter kring vem som ska ha vad?</w:t>
      </w:r>
    </w:p>
    <w:p w:rsidR="001C19B8" w:rsidRPr="001C19B8" w:rsidRDefault="001C19B8" w:rsidP="001C19B8">
      <w:pPr>
        <w:numPr>
          <w:ilvl w:val="0"/>
          <w:numId w:val="5"/>
        </w:numPr>
        <w:contextualSpacing/>
        <w:rPr>
          <w:rFonts w:eastAsia="Times New Roman" w:cstheme="minorHAnsi"/>
          <w:sz w:val="24"/>
          <w:szCs w:val="24"/>
          <w:lang w:eastAsia="sv-SE"/>
        </w:rPr>
      </w:pPr>
      <w:r w:rsidRPr="001C19B8">
        <w:rPr>
          <w:rFonts w:eastAsia="Times New Roman" w:cstheme="minorHAnsi"/>
          <w:sz w:val="24"/>
          <w:szCs w:val="24"/>
          <w:lang w:eastAsia="sv-SE"/>
        </w:rPr>
        <w:t>Administrering av läkemedel: får patienten i sig sina läkemedel? Är det tydligt hur läkemedlet ska tas tex peroralt, intramuskulärt eller suppositorier</w:t>
      </w:r>
    </w:p>
    <w:p w:rsidR="001C19B8" w:rsidRPr="001C19B8" w:rsidRDefault="001C19B8" w:rsidP="001C19B8">
      <w:pPr>
        <w:numPr>
          <w:ilvl w:val="0"/>
          <w:numId w:val="5"/>
        </w:numPr>
        <w:contextualSpacing/>
        <w:rPr>
          <w:rFonts w:eastAsia="Times New Roman" w:cstheme="minorHAnsi"/>
          <w:sz w:val="24"/>
          <w:szCs w:val="24"/>
          <w:lang w:eastAsia="sv-SE"/>
        </w:rPr>
      </w:pPr>
      <w:r w:rsidRPr="001C19B8">
        <w:rPr>
          <w:rFonts w:eastAsia="Times New Roman" w:cstheme="minorHAnsi"/>
          <w:sz w:val="24"/>
          <w:szCs w:val="24"/>
          <w:lang w:eastAsia="sv-SE"/>
        </w:rPr>
        <w:t>Narkotika: finns narkotikasvinn på avdelningen</w:t>
      </w:r>
    </w:p>
    <w:p w:rsidR="001C19B8" w:rsidRPr="001C19B8" w:rsidRDefault="001C19B8" w:rsidP="001C19B8">
      <w:pPr>
        <w:numPr>
          <w:ilvl w:val="0"/>
          <w:numId w:val="5"/>
        </w:numPr>
        <w:contextualSpacing/>
        <w:rPr>
          <w:rFonts w:eastAsia="Times New Roman" w:cstheme="minorHAnsi"/>
          <w:sz w:val="24"/>
          <w:szCs w:val="24"/>
          <w:lang w:eastAsia="sv-SE"/>
        </w:rPr>
      </w:pPr>
      <w:r w:rsidRPr="001C19B8">
        <w:rPr>
          <w:rFonts w:eastAsia="Times New Roman" w:cstheme="minorHAnsi"/>
          <w:sz w:val="24"/>
          <w:szCs w:val="24"/>
          <w:lang w:eastAsia="sv-SE"/>
        </w:rPr>
        <w:t>Vårdens övergångar: hur säkerställer man att de läkemedel patienten har på listan från akuten är det den tar? Hur säkerställer man att patienten har rätt läkemedel när den går hem och att information om detta följer med till alla berörda parter?</w:t>
      </w:r>
    </w:p>
    <w:p w:rsidR="001C19B8" w:rsidRPr="001C19B8" w:rsidRDefault="001C19B8" w:rsidP="001C19B8">
      <w:r w:rsidRPr="001C19B8">
        <w:rPr>
          <w:b/>
          <w:sz w:val="28"/>
          <w:szCs w:val="28"/>
        </w:rPr>
        <w:t>Syfte</w:t>
      </w:r>
      <w:r w:rsidRPr="001C19B8">
        <w:rPr>
          <w:b/>
          <w:sz w:val="28"/>
          <w:szCs w:val="28"/>
        </w:rPr>
        <w:br/>
      </w:r>
      <w:r w:rsidRPr="001C19B8">
        <w:t>Att i studiecirkelform öka kunskaperna och medvetandet kring läkemedelshantering på vårdavdelningar och mottagningar i RVN.</w:t>
      </w:r>
    </w:p>
    <w:p w:rsidR="001C19B8" w:rsidRPr="001C19B8" w:rsidRDefault="001C19B8" w:rsidP="001C19B8">
      <w:r w:rsidRPr="001C19B8">
        <w:rPr>
          <w:b/>
          <w:sz w:val="28"/>
          <w:szCs w:val="28"/>
        </w:rPr>
        <w:t>Metod</w:t>
      </w:r>
      <w:r w:rsidRPr="001C19B8">
        <w:rPr>
          <w:b/>
        </w:rPr>
        <w:br/>
      </w:r>
      <w:r w:rsidRPr="001C19B8">
        <w:t xml:space="preserve">Läkemedelsansvariga sjuksköterskor </w:t>
      </w:r>
      <w:r w:rsidR="00807513">
        <w:t xml:space="preserve">erbjuds via </w:t>
      </w:r>
      <w:r w:rsidR="00F32BAA">
        <w:t>läkemedelskommittén</w:t>
      </w:r>
      <w:r w:rsidR="00807513">
        <w:t xml:space="preserve"> utbildning i studiecirkel läkemedelshantering. Där</w:t>
      </w:r>
      <w:r w:rsidR="00F32BAA">
        <w:t>efter</w:t>
      </w:r>
      <w:r w:rsidRPr="001C19B8">
        <w:t xml:space="preserve"> </w:t>
      </w:r>
      <w:r w:rsidR="00F32BAA">
        <w:t xml:space="preserve">sker planeringen på vårdenheten. De olika avsnitten beräknas ta ung. </w:t>
      </w:r>
      <w:r>
        <w:t xml:space="preserve"> 20 - 30 minuter</w:t>
      </w:r>
      <w:r w:rsidR="00F32BAA">
        <w:t xml:space="preserve"> att gå igenom</w:t>
      </w:r>
      <w:r>
        <w:t xml:space="preserve"> </w:t>
      </w:r>
      <w:r w:rsidR="00F32BAA">
        <w:t>o</w:t>
      </w:r>
      <w:r w:rsidR="008E641B">
        <w:t xml:space="preserve">ch </w:t>
      </w:r>
      <w:r w:rsidRPr="001C19B8">
        <w:t>disk</w:t>
      </w:r>
      <w:r w:rsidR="008E641B">
        <w:t>utera</w:t>
      </w:r>
      <w:r w:rsidR="00F32BAA">
        <w:t xml:space="preserve"> i sjuksköterskegruppen. </w:t>
      </w:r>
      <w:r w:rsidRPr="001C19B8">
        <w:t xml:space="preserve"> </w:t>
      </w:r>
      <w:r w:rsidR="008E641B">
        <w:t xml:space="preserve">Skriv ut och delge kollegorna åhörarkopior med bilder till </w:t>
      </w:r>
      <w:r w:rsidR="004529BB">
        <w:t xml:space="preserve">varje </w:t>
      </w:r>
      <w:r w:rsidR="008E641B">
        <w:t>avsnitt alternativt</w:t>
      </w:r>
      <w:r w:rsidR="004773DA">
        <w:t>,</w:t>
      </w:r>
      <w:bookmarkStart w:id="0" w:name="_GoBack"/>
      <w:bookmarkEnd w:id="0"/>
      <w:r w:rsidR="008E641B">
        <w:t xml:space="preserve"> använd en dator</w:t>
      </w:r>
      <w:r w:rsidR="004529BB">
        <w:t xml:space="preserve"> att visa materialet på. </w:t>
      </w:r>
      <w:r w:rsidR="00F32BAA">
        <w:t>P</w:t>
      </w:r>
      <w:r w:rsidRPr="001C19B8">
        <w:t>resentationsmaterialet</w:t>
      </w:r>
      <w:r w:rsidR="00F32BAA">
        <w:t>s</w:t>
      </w:r>
      <w:r w:rsidRPr="001C19B8">
        <w:t xml:space="preserve"> fem </w:t>
      </w:r>
      <w:r w:rsidR="00F32BAA">
        <w:t xml:space="preserve">avsnitt bör om möjligt planeras </w:t>
      </w:r>
      <w:r w:rsidRPr="001C19B8">
        <w:t>under perioden december 2019 - maj 2020.</w:t>
      </w:r>
    </w:p>
    <w:p w:rsidR="001C19B8" w:rsidRDefault="001C19B8" w:rsidP="001C19B8">
      <w:pPr>
        <w:rPr>
          <w:rStyle w:val="Hyperlnk"/>
        </w:rPr>
      </w:pPr>
      <w:r w:rsidRPr="001C19B8">
        <w:rPr>
          <w:b/>
          <w:sz w:val="28"/>
          <w:szCs w:val="28"/>
        </w:rPr>
        <w:t>Redovisning</w:t>
      </w:r>
      <w:r w:rsidRPr="001C19B8">
        <w:br/>
      </w:r>
      <w:r w:rsidRPr="008D7D7D">
        <w:t xml:space="preserve">Utbildningen är obligatorisk. </w:t>
      </w:r>
      <w:r w:rsidRPr="008D7D7D">
        <w:rPr>
          <w:rFonts w:eastAsiaTheme="minorEastAsia" w:hAnsi="Calibri"/>
          <w:color w:val="000000" w:themeColor="text1"/>
          <w:kern w:val="24"/>
        </w:rPr>
        <w:t xml:space="preserve">Utse någon som </w:t>
      </w:r>
      <w:r w:rsidR="00F32BAA" w:rsidRPr="008D7D7D">
        <w:rPr>
          <w:rFonts w:eastAsiaTheme="minorEastAsia" w:hAnsi="Calibri"/>
          <w:color w:val="000000" w:themeColor="text1"/>
          <w:kern w:val="24"/>
        </w:rPr>
        <w:t>anteckn</w:t>
      </w:r>
      <w:r w:rsidR="00F32BAA">
        <w:rPr>
          <w:rFonts w:eastAsiaTheme="minorEastAsia" w:hAnsi="Calibri"/>
          <w:color w:val="000000" w:themeColor="text1"/>
          <w:kern w:val="24"/>
        </w:rPr>
        <w:t xml:space="preserve">ar </w:t>
      </w:r>
      <w:r w:rsidRPr="008D7D7D">
        <w:rPr>
          <w:rFonts w:eastAsiaTheme="minorEastAsia" w:hAnsi="Calibri"/>
          <w:color w:val="000000" w:themeColor="text1"/>
          <w:kern w:val="24"/>
        </w:rPr>
        <w:t>under mötet</w:t>
      </w:r>
      <w:r>
        <w:rPr>
          <w:rFonts w:eastAsiaTheme="minorEastAsia" w:hAnsi="Calibri"/>
          <w:color w:val="000000" w:themeColor="text1"/>
          <w:kern w:val="24"/>
        </w:rPr>
        <w:t>.</w:t>
      </w:r>
      <w:r>
        <w:rPr>
          <w:rFonts w:eastAsiaTheme="minorEastAsia" w:hAnsi="Calibri"/>
          <w:color w:val="000000" w:themeColor="text1"/>
          <w:kern w:val="24"/>
          <w:sz w:val="56"/>
          <w:szCs w:val="56"/>
        </w:rPr>
        <w:t xml:space="preserve"> </w:t>
      </w:r>
      <w:r w:rsidRPr="008D7D7D">
        <w:rPr>
          <w:iCs/>
        </w:rPr>
        <w:t>Skicka deltagarlistor</w:t>
      </w:r>
      <w:r>
        <w:rPr>
          <w:iCs/>
        </w:rPr>
        <w:t>,</w:t>
      </w:r>
      <w:r w:rsidRPr="008D7D7D">
        <w:rPr>
          <w:iCs/>
        </w:rPr>
        <w:t xml:space="preserve"> frågor, synpunkter samt eventuella beslut till förändrat arbetssätt efter genomgånget material i ett cirkulationskuvert </w:t>
      </w:r>
      <w:r w:rsidRPr="008D7D7D">
        <w:t xml:space="preserve">till läkemedelsenheten, Regionens hus, alternativt  </w:t>
      </w:r>
      <w:hyperlink r:id="rId5" w:history="1">
        <w:r w:rsidRPr="008D7D7D">
          <w:rPr>
            <w:rStyle w:val="Hyperlnk"/>
          </w:rPr>
          <w:t>lakemedelskommitten</w:t>
        </w:r>
      </w:hyperlink>
      <w:hyperlink r:id="rId6" w:history="1">
        <w:r w:rsidRPr="008D7D7D">
          <w:rPr>
            <w:rStyle w:val="Hyperlnk"/>
          </w:rPr>
          <w:t>@rvn.se</w:t>
        </w:r>
      </w:hyperlink>
      <w:r w:rsidR="00F32BAA">
        <w:rPr>
          <w:rStyle w:val="Hyperlnk"/>
        </w:rPr>
        <w:t xml:space="preserve"> </w:t>
      </w:r>
    </w:p>
    <w:p w:rsidR="001C19B8" w:rsidRPr="008E641B" w:rsidRDefault="00F32BAA" w:rsidP="00673532">
      <w:pPr>
        <w:rPr>
          <w:i/>
        </w:rPr>
      </w:pPr>
      <w:r w:rsidRPr="008E641B">
        <w:rPr>
          <w:i/>
        </w:rPr>
        <w:t>Vårdenheten bestämmer själv om de vill redovisa till läkemedelskommittén efter varje genomgånget avsnitt eller efter avslutad studiecirkel.</w:t>
      </w:r>
    </w:p>
    <w:p w:rsidR="008E641B" w:rsidRDefault="008E641B" w:rsidP="00673532">
      <w:pPr>
        <w:rPr>
          <w:b/>
        </w:rPr>
      </w:pPr>
    </w:p>
    <w:p w:rsidR="008E641B" w:rsidRDefault="008E641B" w:rsidP="00673532">
      <w:pPr>
        <w:rPr>
          <w:b/>
        </w:rPr>
      </w:pPr>
    </w:p>
    <w:p w:rsidR="00B23023" w:rsidRDefault="003B70AE" w:rsidP="00673532">
      <w:pPr>
        <w:rPr>
          <w:noProof/>
        </w:rPr>
      </w:pPr>
      <w:r w:rsidRPr="00A64E8D">
        <w:rPr>
          <w:b/>
        </w:rPr>
        <w:lastRenderedPageBreak/>
        <w:t>Stödtext till</w:t>
      </w:r>
      <w:r w:rsidR="002B417E">
        <w:rPr>
          <w:b/>
        </w:rPr>
        <w:t xml:space="preserve"> ” Lokala rutiner och övergripande instruktioner gällande läkemedel</w:t>
      </w:r>
      <w:r w:rsidRPr="00A64E8D">
        <w:rPr>
          <w:b/>
        </w:rPr>
        <w:t xml:space="preserve">”, </w:t>
      </w:r>
      <w:r>
        <w:rPr>
          <w:b/>
        </w:rPr>
        <w:t>A</w:t>
      </w:r>
      <w:r w:rsidRPr="00A64E8D">
        <w:rPr>
          <w:b/>
        </w:rPr>
        <w:t xml:space="preserve">vsnitt </w:t>
      </w:r>
      <w:r w:rsidR="00B23023">
        <w:rPr>
          <w:b/>
        </w:rPr>
        <w:t>1</w:t>
      </w:r>
      <w:r w:rsidRPr="00A64E8D">
        <w:rPr>
          <w:b/>
        </w:rPr>
        <w:t xml:space="preserve">, </w:t>
      </w:r>
      <w:r w:rsidRPr="003B70AE">
        <w:rPr>
          <w:noProof/>
        </w:rPr>
        <w:t xml:space="preserve"> </w:t>
      </w:r>
    </w:p>
    <w:p w:rsidR="00B23023" w:rsidRPr="00B23023" w:rsidRDefault="00B23023" w:rsidP="00673532">
      <w:pPr>
        <w:rPr>
          <w:noProof/>
        </w:rPr>
      </w:pPr>
    </w:p>
    <w:p w:rsidR="00B23023" w:rsidRDefault="00B23023" w:rsidP="00673532">
      <w:pPr>
        <w:rPr>
          <w:noProof/>
          <w:sz w:val="24"/>
          <w:szCs w:val="24"/>
        </w:rPr>
      </w:pPr>
      <w:r>
        <w:rPr>
          <w:noProof/>
        </w:rPr>
        <w:drawing>
          <wp:inline distT="0" distB="0" distL="0" distR="0" wp14:anchorId="507D77D6" wp14:editId="674C97D3">
            <wp:extent cx="2400300" cy="1808759"/>
            <wp:effectExtent l="0" t="0" r="0" b="127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16210" cy="1820748"/>
                    </a:xfrm>
                    <a:prstGeom prst="rect">
                      <a:avLst/>
                    </a:prstGeom>
                  </pic:spPr>
                </pic:pic>
              </a:graphicData>
            </a:graphic>
          </wp:inline>
        </w:drawing>
      </w:r>
    </w:p>
    <w:p w:rsidR="0085788A" w:rsidRDefault="0085788A" w:rsidP="00673532">
      <w:pPr>
        <w:rPr>
          <w:noProof/>
          <w:sz w:val="24"/>
          <w:szCs w:val="24"/>
        </w:rPr>
      </w:pPr>
      <w:r>
        <w:rPr>
          <w:noProof/>
          <w:sz w:val="24"/>
          <w:szCs w:val="24"/>
        </w:rPr>
        <w:t>Innan ni börjar med avsnittet:</w:t>
      </w:r>
    </w:p>
    <w:p w:rsidR="00BD2524" w:rsidRDefault="00BD2524" w:rsidP="00673532">
      <w:pPr>
        <w:rPr>
          <w:noProof/>
          <w:sz w:val="24"/>
          <w:szCs w:val="24"/>
        </w:rPr>
      </w:pPr>
      <w:r>
        <w:rPr>
          <w:noProof/>
          <w:sz w:val="24"/>
          <w:szCs w:val="24"/>
        </w:rPr>
        <w:t>Ni behöver ha</w:t>
      </w:r>
      <w:r w:rsidR="00673532" w:rsidRPr="006161E2">
        <w:rPr>
          <w:noProof/>
          <w:sz w:val="24"/>
          <w:szCs w:val="24"/>
        </w:rPr>
        <w:t xml:space="preserve"> tillgång till en dator för att kunna titta på </w:t>
      </w:r>
      <w:r w:rsidR="00802C1C">
        <w:rPr>
          <w:noProof/>
          <w:sz w:val="24"/>
          <w:szCs w:val="24"/>
        </w:rPr>
        <w:t>dokument</w:t>
      </w:r>
      <w:r w:rsidR="00673532" w:rsidRPr="006161E2">
        <w:rPr>
          <w:noProof/>
          <w:sz w:val="24"/>
          <w:szCs w:val="24"/>
        </w:rPr>
        <w:t xml:space="preserve"> som ligger på intranätet. </w:t>
      </w:r>
      <w:r w:rsidRPr="006161E2">
        <w:rPr>
          <w:noProof/>
          <w:sz w:val="24"/>
          <w:szCs w:val="24"/>
        </w:rPr>
        <w:t xml:space="preserve">Skriv ut enhetens lokala </w:t>
      </w:r>
      <w:r>
        <w:rPr>
          <w:noProof/>
          <w:sz w:val="24"/>
          <w:szCs w:val="24"/>
        </w:rPr>
        <w:t>instruktion för läkemedelshantering</w:t>
      </w:r>
      <w:r w:rsidRPr="006161E2">
        <w:rPr>
          <w:noProof/>
          <w:sz w:val="24"/>
          <w:szCs w:val="24"/>
        </w:rPr>
        <w:t xml:space="preserve"> och mall, bilaga 1, ”Lokal rutin för läkemedelshantering” till  läkemedelshanteringshäftet och dela ut innan mötet. </w:t>
      </w:r>
    </w:p>
    <w:p w:rsidR="00673532" w:rsidRDefault="00BD2524" w:rsidP="00673532">
      <w:pPr>
        <w:rPr>
          <w:noProof/>
          <w:sz w:val="24"/>
          <w:szCs w:val="24"/>
        </w:rPr>
      </w:pPr>
      <w:r w:rsidRPr="006161E2">
        <w:rPr>
          <w:noProof/>
          <w:sz w:val="24"/>
          <w:szCs w:val="24"/>
        </w:rPr>
        <w:t xml:space="preserve">Bilaga 1 hittar du under rubriken Bilagor till läkemedelshanteringshäftet här </w:t>
      </w:r>
      <w:hyperlink r:id="rId8" w:history="1">
        <w:r w:rsidRPr="006161E2">
          <w:rPr>
            <w:rStyle w:val="Hyperlnk"/>
            <w:noProof/>
            <w:sz w:val="24"/>
            <w:szCs w:val="24"/>
          </w:rPr>
          <w:t>https://intranat.rvn.se/sv/information-och-arbetssatt/vardens-arbetssatt/lakemedel/lakemedelshantering/</w:t>
        </w:r>
      </w:hyperlink>
    </w:p>
    <w:p w:rsidR="007E1EC2" w:rsidRDefault="00AF7F8D" w:rsidP="007E1EC2">
      <w:pPr>
        <w:rPr>
          <w:rFonts w:ascii="Calibri" w:hAnsi="Calibri"/>
          <w:sz w:val="24"/>
          <w:szCs w:val="24"/>
        </w:rPr>
      </w:pPr>
      <w:r w:rsidRPr="00BD2524">
        <w:rPr>
          <w:rFonts w:ascii="Calibri" w:hAnsi="Calibri"/>
          <w:noProof/>
          <w:sz w:val="24"/>
          <w:szCs w:val="24"/>
        </w:rPr>
        <mc:AlternateContent>
          <mc:Choice Requires="wps">
            <w:drawing>
              <wp:anchor distT="45720" distB="45720" distL="114300" distR="114300" simplePos="0" relativeHeight="251660288" behindDoc="0" locked="0" layoutInCell="1" allowOverlap="1">
                <wp:simplePos x="0" y="0"/>
                <wp:positionH relativeFrom="column">
                  <wp:posOffset>-61595</wp:posOffset>
                </wp:positionH>
                <wp:positionV relativeFrom="paragraph">
                  <wp:posOffset>347980</wp:posOffset>
                </wp:positionV>
                <wp:extent cx="5676900" cy="561975"/>
                <wp:effectExtent l="0" t="0" r="19050" b="2857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561975"/>
                        </a:xfrm>
                        <a:prstGeom prst="rect">
                          <a:avLst/>
                        </a:prstGeom>
                        <a:solidFill>
                          <a:srgbClr val="FFFFFF"/>
                        </a:solidFill>
                        <a:ln w="9525">
                          <a:solidFill>
                            <a:srgbClr val="000000"/>
                          </a:solidFill>
                          <a:miter lim="800000"/>
                          <a:headEnd/>
                          <a:tailEnd/>
                        </a:ln>
                      </wps:spPr>
                      <wps:txbx>
                        <w:txbxContent>
                          <w:p w:rsidR="00BD2524" w:rsidRPr="00AF7F8D" w:rsidRDefault="00BD2524" w:rsidP="00BD2524">
                            <w:pPr>
                              <w:rPr>
                                <w:i/>
                                <w:noProof/>
                                <w:sz w:val="24"/>
                                <w:szCs w:val="24"/>
                              </w:rPr>
                            </w:pPr>
                            <w:r w:rsidRPr="00AF7F8D">
                              <w:rPr>
                                <w:rFonts w:cs="Helvetica"/>
                                <w:i/>
                                <w:color w:val="212529"/>
                                <w:sz w:val="24"/>
                                <w:szCs w:val="24"/>
                                <w:shd w:val="clear" w:color="auto" w:fill="FFFFFF"/>
                              </w:rPr>
                              <w:t>För en säker läkemedelshantering är det viktigt att rutiner kring läkemedelshanteringen är kända och tillämpas. </w:t>
                            </w:r>
                          </w:p>
                          <w:p w:rsidR="00BD2524" w:rsidRDefault="00BD25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4.85pt;margin-top:27.4pt;width:447pt;height:44.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">
                <v:textbox>
                  <w:txbxContent>
                    <w:p w:rsidR="00BD2524" w:rsidRPr="00AF7F8D" w:rsidRDefault="00BD2524" w:rsidP="00BD2524">
                      <w:pPr>
                        <w:rPr>
                          <w:i/>
                          <w:noProof/>
                          <w:sz w:val="24"/>
                          <w:szCs w:val="24"/>
                        </w:rPr>
                      </w:pPr>
                      <w:r w:rsidRPr="00AF7F8D">
                        <w:rPr>
                          <w:rFonts w:cs="Helvetica"/>
                          <w:i/>
                          <w:color w:val="212529"/>
                          <w:sz w:val="24"/>
                          <w:szCs w:val="24"/>
                          <w:shd w:val="clear" w:color="auto" w:fill="FFFFFF"/>
                        </w:rPr>
                        <w:t>För en säker läkemedelshantering är det viktigt att rutiner kring läkemedelshanteringen är kända och tillämpas. </w:t>
                      </w:r>
                    </w:p>
                    <w:p w:rsidR="00BD2524" w:rsidRDefault="00BD2524"/>
                  </w:txbxContent>
                </v:textbox>
                <w10:wrap type="square"/>
              </v:shape>
            </w:pict>
          </mc:Fallback>
        </mc:AlternateContent>
      </w:r>
    </w:p>
    <w:p w:rsidR="002B417E" w:rsidRDefault="002B417E" w:rsidP="007E1EC2">
      <w:pPr>
        <w:rPr>
          <w:noProof/>
        </w:rPr>
      </w:pPr>
    </w:p>
    <w:p w:rsidR="00605BEC" w:rsidRDefault="002B417E" w:rsidP="007E1EC2">
      <w:pPr>
        <w:rPr>
          <w:noProof/>
        </w:rPr>
      </w:pPr>
      <w:r w:rsidRPr="002B417E">
        <w:rPr>
          <w:noProof/>
        </w:rPr>
        <w:drawing>
          <wp:inline distT="0" distB="0" distL="0" distR="0" wp14:anchorId="1087B582" wp14:editId="72EEBD28">
            <wp:extent cx="2428240" cy="1849755"/>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33722" cy="1853931"/>
                    </a:xfrm>
                    <a:prstGeom prst="rect">
                      <a:avLst/>
                    </a:prstGeom>
                  </pic:spPr>
                </pic:pic>
              </a:graphicData>
            </a:graphic>
          </wp:inline>
        </w:drawing>
      </w:r>
    </w:p>
    <w:p w:rsidR="00607352" w:rsidRDefault="00607352" w:rsidP="00831F6F">
      <w:pPr>
        <w:autoSpaceDE w:val="0"/>
        <w:autoSpaceDN w:val="0"/>
        <w:adjustRightInd w:val="0"/>
        <w:rPr>
          <w:rFonts w:eastAsia="Calibri"/>
          <w:color w:val="000000"/>
        </w:rPr>
      </w:pPr>
    </w:p>
    <w:p w:rsidR="00421576" w:rsidRDefault="00831F6F" w:rsidP="00831F6F">
      <w:pPr>
        <w:autoSpaceDE w:val="0"/>
        <w:autoSpaceDN w:val="0"/>
        <w:adjustRightInd w:val="0"/>
        <w:rPr>
          <w:rFonts w:eastAsia="Calibri"/>
          <w:color w:val="000000"/>
        </w:rPr>
      </w:pPr>
      <w:r w:rsidRPr="00831F6F">
        <w:rPr>
          <w:rFonts w:eastAsia="Calibri"/>
          <w:color w:val="000000"/>
        </w:rPr>
        <w:t>I och med den nya föreskriften</w:t>
      </w:r>
      <w:r>
        <w:rPr>
          <w:rFonts w:eastAsia="Calibri"/>
          <w:color w:val="000000"/>
        </w:rPr>
        <w:t xml:space="preserve"> från Socialstyrelsen</w:t>
      </w:r>
      <w:r w:rsidR="00421576">
        <w:rPr>
          <w:rFonts w:eastAsia="Calibri"/>
          <w:color w:val="000000"/>
        </w:rPr>
        <w:t xml:space="preserve">, HSLF-FS 2018:1, </w:t>
      </w:r>
      <w:r w:rsidRPr="00831F6F">
        <w:rPr>
          <w:rFonts w:eastAsia="Calibri"/>
          <w:color w:val="000000"/>
        </w:rPr>
        <w:t xml:space="preserve">och förändrade krav på innehåll i verksamheternas rutiner behöver alla enheter se över sina lokala instruktioner för läkemedelshantering och beskriva arbetssätt för att uppnå god och säker vård. </w:t>
      </w:r>
    </w:p>
    <w:p w:rsidR="00C532A6" w:rsidRDefault="00C532A6" w:rsidP="00831F6F">
      <w:pPr>
        <w:autoSpaceDE w:val="0"/>
        <w:autoSpaceDN w:val="0"/>
        <w:adjustRightInd w:val="0"/>
        <w:rPr>
          <w:rFonts w:ascii="Verdana" w:eastAsia="Verdana" w:hAnsi="Verdana" w:cs="Verdana"/>
          <w:color w:val="000000"/>
          <w:kern w:val="36"/>
          <w:sz w:val="18"/>
          <w:szCs w:val="18"/>
          <w:lang w:val="sv" w:eastAsia="sv"/>
        </w:rPr>
      </w:pPr>
    </w:p>
    <w:p w:rsidR="00C532A6" w:rsidRDefault="00C532A6" w:rsidP="00831F6F">
      <w:pPr>
        <w:autoSpaceDE w:val="0"/>
        <w:autoSpaceDN w:val="0"/>
        <w:adjustRightInd w:val="0"/>
        <w:rPr>
          <w:rFonts w:ascii="Verdana" w:eastAsia="Verdana" w:hAnsi="Verdana" w:cs="Verdana"/>
          <w:color w:val="000000"/>
          <w:kern w:val="36"/>
          <w:sz w:val="18"/>
          <w:szCs w:val="18"/>
          <w:lang w:val="sv" w:eastAsia="sv"/>
        </w:rPr>
      </w:pPr>
      <w:r>
        <w:rPr>
          <w:rFonts w:ascii="Verdana" w:eastAsia="Verdana" w:hAnsi="Verdana" w:cs="Verdana"/>
          <w:color w:val="000000"/>
          <w:kern w:val="36"/>
          <w:sz w:val="18"/>
          <w:szCs w:val="18"/>
          <w:lang w:val="sv" w:eastAsia="sv"/>
        </w:rPr>
        <w:lastRenderedPageBreak/>
        <w:t xml:space="preserve">Nedan </w:t>
      </w:r>
      <w:r w:rsidR="0035555E">
        <w:rPr>
          <w:rFonts w:ascii="Verdana" w:eastAsia="Verdana" w:hAnsi="Verdana" w:cs="Verdana"/>
          <w:color w:val="000000"/>
          <w:kern w:val="36"/>
          <w:sz w:val="18"/>
          <w:szCs w:val="18"/>
          <w:lang w:val="sv" w:eastAsia="sv"/>
        </w:rPr>
        <w:t xml:space="preserve">sammanställda svar gällande lokal instruktion </w:t>
      </w:r>
      <w:r w:rsidR="00414F05">
        <w:rPr>
          <w:rFonts w:ascii="Verdana" w:eastAsia="Verdana" w:hAnsi="Verdana" w:cs="Verdana"/>
          <w:color w:val="000000"/>
          <w:kern w:val="36"/>
          <w:sz w:val="18"/>
          <w:szCs w:val="18"/>
          <w:lang w:val="sv" w:eastAsia="sv"/>
        </w:rPr>
        <w:t>från</w:t>
      </w:r>
      <w:r w:rsidR="0035555E">
        <w:rPr>
          <w:rFonts w:ascii="Verdana" w:eastAsia="Verdana" w:hAnsi="Verdana" w:cs="Verdana"/>
          <w:color w:val="000000"/>
          <w:kern w:val="36"/>
          <w:sz w:val="18"/>
          <w:szCs w:val="18"/>
          <w:lang w:val="sv" w:eastAsia="sv"/>
        </w:rPr>
        <w:t xml:space="preserve"> </w:t>
      </w:r>
      <w:r>
        <w:rPr>
          <w:rFonts w:ascii="Verdana" w:eastAsia="Verdana" w:hAnsi="Verdana" w:cs="Verdana"/>
          <w:color w:val="000000"/>
          <w:kern w:val="36"/>
          <w:sz w:val="18"/>
          <w:szCs w:val="18"/>
          <w:lang w:val="sv" w:eastAsia="sv"/>
        </w:rPr>
        <w:t>senaste egeninspektionen</w:t>
      </w:r>
      <w:r w:rsidR="0035555E">
        <w:rPr>
          <w:rFonts w:ascii="Verdana" w:eastAsia="Verdana" w:hAnsi="Verdana" w:cs="Verdana"/>
          <w:color w:val="000000"/>
          <w:kern w:val="36"/>
          <w:sz w:val="18"/>
          <w:szCs w:val="18"/>
          <w:lang w:val="sv" w:eastAsia="sv"/>
        </w:rPr>
        <w:t xml:space="preserve"> hösten 2018. </w:t>
      </w:r>
    </w:p>
    <w:p w:rsidR="00C532A6" w:rsidRPr="00C532A6" w:rsidRDefault="00C532A6" w:rsidP="00831F6F">
      <w:pPr>
        <w:autoSpaceDE w:val="0"/>
        <w:autoSpaceDN w:val="0"/>
        <w:adjustRightInd w:val="0"/>
        <w:rPr>
          <w:rFonts w:eastAsia="Calibri"/>
          <w:b/>
          <w:color w:val="000000"/>
          <w:sz w:val="24"/>
          <w:szCs w:val="24"/>
        </w:rPr>
      </w:pPr>
      <w:r w:rsidRPr="00C532A6">
        <w:rPr>
          <w:rFonts w:eastAsia="Verdana" w:cs="Verdana"/>
          <w:b/>
          <w:color w:val="000000"/>
          <w:kern w:val="36"/>
          <w:sz w:val="24"/>
          <w:szCs w:val="24"/>
          <w:lang w:val="sv" w:eastAsia="sv"/>
        </w:rPr>
        <w:t>Har din en enhet skriftlig lokal instruktion med rutiner för läkemedelshanteringen?</w:t>
      </w:r>
    </w:p>
    <w:p w:rsidR="00E8229E" w:rsidRPr="00831F6F" w:rsidRDefault="00C532A6" w:rsidP="007E1EC2">
      <w:pPr>
        <w:rPr>
          <w:sz w:val="24"/>
          <w:szCs w:val="24"/>
        </w:rPr>
      </w:pPr>
      <w:r>
        <w:rPr>
          <w:rFonts w:eastAsia="Times New Roman"/>
          <w:noProof/>
          <w:lang w:val="sv" w:eastAsia="sv"/>
        </w:rPr>
        <w:drawing>
          <wp:inline distT="0" distB="0" distL="0" distR="0" wp14:anchorId="7D863EE0" wp14:editId="222701ED">
            <wp:extent cx="2914650" cy="1714500"/>
            <wp:effectExtent l="0" t="0" r="0" b="0"/>
            <wp:docPr id="100014" name="Bildobjekt 100014"/>
            <wp:cNvGraphicFramePr/>
            <a:graphic xmlns:a="http://schemas.openxmlformats.org/drawingml/2006/main">
              <a:graphicData uri="http://schemas.openxmlformats.org/drawingml/2006/picture">
                <pic:pic xmlns:pic="http://schemas.openxmlformats.org/drawingml/2006/picture">
                  <pic:nvPicPr>
                    <pic:cNvPr id="33890158" name=""/>
                    <pic:cNvPicPr/>
                  </pic:nvPicPr>
                  <pic:blipFill>
                    <a:blip r:embed="rId10"/>
                    <a:stretch>
                      <a:fillRect/>
                    </a:stretch>
                  </pic:blipFill>
                  <pic:spPr>
                    <a:xfrm>
                      <a:off x="0" y="0"/>
                      <a:ext cx="2914650" cy="1714500"/>
                    </a:xfrm>
                    <a:prstGeom prst="rect">
                      <a:avLst/>
                    </a:prstGeom>
                  </pic:spPr>
                </pic:pic>
              </a:graphicData>
            </a:graphic>
          </wp:inline>
        </w:drawing>
      </w:r>
    </w:p>
    <w:p w:rsidR="003909E8" w:rsidRDefault="003909E8" w:rsidP="00C532A6">
      <w:pPr>
        <w:pBdr>
          <w:right w:val="none" w:sz="0" w:space="3" w:color="auto"/>
        </w:pBdr>
        <w:spacing w:after="121" w:line="240" w:lineRule="auto"/>
        <w:ind w:right="75"/>
        <w:outlineLvl w:val="0"/>
        <w:rPr>
          <w:rFonts w:ascii="Verdana" w:eastAsia="Verdana" w:hAnsi="Verdana" w:cs="Verdana"/>
          <w:b/>
          <w:bCs/>
          <w:color w:val="000000"/>
          <w:kern w:val="36"/>
          <w:sz w:val="18"/>
          <w:szCs w:val="18"/>
          <w:lang w:val="sv" w:eastAsia="sv"/>
        </w:rPr>
      </w:pPr>
      <w:r>
        <w:rPr>
          <w:rFonts w:ascii="Calibri" w:hAnsi="Calibri"/>
          <w:sz w:val="24"/>
          <w:szCs w:val="24"/>
        </w:rPr>
        <w:t>Utifrån detta kan man dra slutsatsen att de flesta enheter har någon form av lokal rutin för läkemedelshantering.</w:t>
      </w:r>
    </w:p>
    <w:p w:rsidR="003909E8" w:rsidRDefault="003909E8" w:rsidP="00C532A6">
      <w:pPr>
        <w:pBdr>
          <w:right w:val="none" w:sz="0" w:space="3" w:color="auto"/>
        </w:pBdr>
        <w:spacing w:after="121" w:line="240" w:lineRule="auto"/>
        <w:ind w:right="75"/>
        <w:outlineLvl w:val="0"/>
        <w:rPr>
          <w:rFonts w:ascii="Verdana" w:eastAsia="Verdana" w:hAnsi="Verdana" w:cs="Verdana"/>
          <w:b/>
          <w:bCs/>
          <w:color w:val="000000"/>
          <w:kern w:val="36"/>
          <w:sz w:val="18"/>
          <w:szCs w:val="18"/>
          <w:lang w:val="sv" w:eastAsia="sv"/>
        </w:rPr>
      </w:pPr>
    </w:p>
    <w:p w:rsidR="00C532A6" w:rsidRDefault="00C532A6" w:rsidP="00C532A6">
      <w:pPr>
        <w:pBdr>
          <w:right w:val="none" w:sz="0" w:space="3" w:color="auto"/>
        </w:pBdr>
        <w:spacing w:after="121" w:line="240" w:lineRule="auto"/>
        <w:ind w:right="75"/>
        <w:outlineLvl w:val="0"/>
        <w:rPr>
          <w:rFonts w:ascii="Verdana" w:eastAsia="Verdana" w:hAnsi="Verdana" w:cs="Verdana"/>
          <w:b/>
          <w:bCs/>
          <w:color w:val="000000"/>
          <w:kern w:val="36"/>
          <w:sz w:val="18"/>
          <w:szCs w:val="18"/>
          <w:lang w:val="sv" w:eastAsia="sv"/>
        </w:rPr>
      </w:pPr>
      <w:r w:rsidRPr="00C532A6">
        <w:rPr>
          <w:rFonts w:ascii="Verdana" w:eastAsia="Verdana" w:hAnsi="Verdana" w:cs="Verdana"/>
          <w:b/>
          <w:bCs/>
          <w:color w:val="000000"/>
          <w:kern w:val="36"/>
          <w:sz w:val="18"/>
          <w:szCs w:val="18"/>
          <w:lang w:val="sv" w:eastAsia="sv"/>
        </w:rPr>
        <w:t>Hur är den lokala instruktionen för läkemedelshantering tillgänglig för personalen? Du kan ge flera svar:</w:t>
      </w:r>
    </w:p>
    <w:p w:rsidR="00C532A6" w:rsidRPr="00C532A6" w:rsidRDefault="00C532A6" w:rsidP="00C532A6">
      <w:pPr>
        <w:pBdr>
          <w:right w:val="none" w:sz="0" w:space="3" w:color="auto"/>
        </w:pBdr>
        <w:spacing w:after="121" w:line="240" w:lineRule="auto"/>
        <w:ind w:right="75"/>
        <w:outlineLvl w:val="0"/>
        <w:rPr>
          <w:rFonts w:ascii="Verdana" w:eastAsia="Verdana" w:hAnsi="Verdana" w:cs="Verdana"/>
          <w:b/>
          <w:bCs/>
          <w:color w:val="000000"/>
          <w:sz w:val="18"/>
          <w:szCs w:val="18"/>
          <w:lang w:val="sv" w:eastAsia="sv"/>
        </w:rPr>
      </w:pPr>
      <w:r>
        <w:rPr>
          <w:rFonts w:eastAsia="Times New Roman"/>
          <w:noProof/>
          <w:lang w:val="sv" w:eastAsia="sv"/>
        </w:rPr>
        <w:drawing>
          <wp:inline distT="0" distB="0" distL="0" distR="0" wp14:anchorId="15A79A4C" wp14:editId="59D70E1B">
            <wp:extent cx="3333750" cy="2857500"/>
            <wp:effectExtent l="0" t="0" r="0" b="0"/>
            <wp:docPr id="100016" name="Bildobjekt 100016"/>
            <wp:cNvGraphicFramePr/>
            <a:graphic xmlns:a="http://schemas.openxmlformats.org/drawingml/2006/main">
              <a:graphicData uri="http://schemas.openxmlformats.org/drawingml/2006/picture">
                <pic:pic xmlns:pic="http://schemas.openxmlformats.org/drawingml/2006/picture">
                  <pic:nvPicPr>
                    <pic:cNvPr id="2113184303" name=""/>
                    <pic:cNvPicPr/>
                  </pic:nvPicPr>
                  <pic:blipFill>
                    <a:blip r:embed="rId11"/>
                    <a:stretch>
                      <a:fillRect/>
                    </a:stretch>
                  </pic:blipFill>
                  <pic:spPr>
                    <a:xfrm>
                      <a:off x="0" y="0"/>
                      <a:ext cx="3333750" cy="2857500"/>
                    </a:xfrm>
                    <a:prstGeom prst="rect">
                      <a:avLst/>
                    </a:prstGeom>
                  </pic:spPr>
                </pic:pic>
              </a:graphicData>
            </a:graphic>
          </wp:inline>
        </w:drawing>
      </w:r>
    </w:p>
    <w:p w:rsidR="00605BEC" w:rsidRDefault="00B738F4" w:rsidP="007E1EC2">
      <w:pPr>
        <w:rPr>
          <w:rFonts w:ascii="Calibri" w:hAnsi="Calibri"/>
          <w:sz w:val="24"/>
          <w:szCs w:val="24"/>
        </w:rPr>
      </w:pPr>
      <w:r>
        <w:rPr>
          <w:rFonts w:ascii="Calibri" w:hAnsi="Calibri"/>
          <w:sz w:val="24"/>
          <w:szCs w:val="24"/>
          <w:lang w:val="sv"/>
        </w:rPr>
        <w:t>Är</w:t>
      </w:r>
      <w:r w:rsidR="003909E8">
        <w:rPr>
          <w:rFonts w:ascii="Calibri" w:hAnsi="Calibri"/>
          <w:sz w:val="24"/>
          <w:szCs w:val="24"/>
        </w:rPr>
        <w:t xml:space="preserve"> </w:t>
      </w:r>
      <w:r w:rsidR="00352AC7">
        <w:rPr>
          <w:rFonts w:ascii="Calibri" w:hAnsi="Calibri"/>
          <w:sz w:val="24"/>
          <w:szCs w:val="24"/>
        </w:rPr>
        <w:t>den lokal instruktion</w:t>
      </w:r>
      <w:r w:rsidR="003909E8">
        <w:rPr>
          <w:rFonts w:ascii="Calibri" w:hAnsi="Calibri"/>
          <w:sz w:val="24"/>
          <w:szCs w:val="24"/>
        </w:rPr>
        <w:t xml:space="preserve"> inlagd i Platina</w:t>
      </w:r>
      <w:r w:rsidR="00352AC7">
        <w:rPr>
          <w:rFonts w:ascii="Calibri" w:hAnsi="Calibri"/>
          <w:sz w:val="24"/>
          <w:szCs w:val="24"/>
        </w:rPr>
        <w:t xml:space="preserve"> </w:t>
      </w:r>
      <w:r w:rsidR="00C27C9F">
        <w:rPr>
          <w:rFonts w:ascii="Calibri" w:hAnsi="Calibri"/>
          <w:sz w:val="24"/>
          <w:szCs w:val="24"/>
        </w:rPr>
        <w:t xml:space="preserve">får </w:t>
      </w:r>
      <w:r w:rsidR="00352AC7">
        <w:rPr>
          <w:rFonts w:ascii="Calibri" w:hAnsi="Calibri"/>
          <w:sz w:val="24"/>
          <w:szCs w:val="24"/>
        </w:rPr>
        <w:t xml:space="preserve">ansvarig </w:t>
      </w:r>
      <w:r w:rsidR="00EC462C">
        <w:rPr>
          <w:rFonts w:ascii="Calibri" w:hAnsi="Calibri"/>
          <w:sz w:val="24"/>
          <w:szCs w:val="24"/>
        </w:rPr>
        <w:t xml:space="preserve">sjuksköterska </w:t>
      </w:r>
      <w:r w:rsidR="00C27C9F">
        <w:rPr>
          <w:rFonts w:ascii="Calibri" w:hAnsi="Calibri"/>
          <w:sz w:val="24"/>
          <w:szCs w:val="24"/>
        </w:rPr>
        <w:t xml:space="preserve">en påminnelse </w:t>
      </w:r>
      <w:r w:rsidR="00352AC7">
        <w:rPr>
          <w:rFonts w:ascii="Calibri" w:hAnsi="Calibri"/>
          <w:sz w:val="24"/>
          <w:szCs w:val="24"/>
        </w:rPr>
        <w:t xml:space="preserve">att det är dags </w:t>
      </w:r>
      <w:r w:rsidR="00C27C9F">
        <w:rPr>
          <w:rFonts w:ascii="Calibri" w:hAnsi="Calibri"/>
          <w:sz w:val="24"/>
          <w:szCs w:val="24"/>
        </w:rPr>
        <w:t>för revidering</w:t>
      </w:r>
      <w:r w:rsidR="005136E5">
        <w:rPr>
          <w:rFonts w:ascii="Calibri" w:hAnsi="Calibri"/>
          <w:sz w:val="24"/>
          <w:szCs w:val="24"/>
        </w:rPr>
        <w:t>.</w:t>
      </w:r>
      <w:r w:rsidR="00C27C9F">
        <w:rPr>
          <w:rFonts w:ascii="Calibri" w:hAnsi="Calibri"/>
          <w:sz w:val="24"/>
          <w:szCs w:val="24"/>
        </w:rPr>
        <w:t xml:space="preserve"> </w:t>
      </w:r>
      <w:r w:rsidR="003909E8">
        <w:rPr>
          <w:rFonts w:ascii="Calibri" w:hAnsi="Calibri"/>
          <w:sz w:val="24"/>
          <w:szCs w:val="24"/>
        </w:rPr>
        <w:t xml:space="preserve"> </w:t>
      </w:r>
      <w:r w:rsidR="005136E5">
        <w:rPr>
          <w:rFonts w:ascii="Calibri" w:hAnsi="Calibri"/>
          <w:sz w:val="24"/>
          <w:szCs w:val="24"/>
        </w:rPr>
        <w:t>Finns instruktionen</w:t>
      </w:r>
      <w:r w:rsidR="00C27C9F">
        <w:rPr>
          <w:rFonts w:ascii="Calibri" w:hAnsi="Calibri"/>
          <w:sz w:val="24"/>
          <w:szCs w:val="24"/>
        </w:rPr>
        <w:t xml:space="preserve"> insatt i pärm på läkemedelsrummen är det lätt att den faller i glömska. All personal med del i läkemedelshanteringen ska läsa och godkänna enhetens rutiner. </w:t>
      </w:r>
    </w:p>
    <w:p w:rsidR="0036777E" w:rsidRDefault="0036777E" w:rsidP="007E1EC2">
      <w:pPr>
        <w:rPr>
          <w:rFonts w:ascii="Calibri" w:hAnsi="Calibri"/>
          <w:sz w:val="24"/>
          <w:szCs w:val="24"/>
        </w:rPr>
      </w:pPr>
    </w:p>
    <w:p w:rsidR="005136E5" w:rsidRDefault="005136E5" w:rsidP="007E1EC2">
      <w:pPr>
        <w:rPr>
          <w:rFonts w:ascii="Calibri" w:hAnsi="Calibri"/>
          <w:sz w:val="24"/>
          <w:szCs w:val="24"/>
        </w:rPr>
      </w:pPr>
    </w:p>
    <w:p w:rsidR="005136E5" w:rsidRDefault="005136E5" w:rsidP="007E1EC2">
      <w:pPr>
        <w:rPr>
          <w:rFonts w:ascii="Calibri" w:hAnsi="Calibri"/>
          <w:sz w:val="24"/>
          <w:szCs w:val="24"/>
        </w:rPr>
      </w:pPr>
    </w:p>
    <w:p w:rsidR="00D61E81" w:rsidRDefault="00D61E81" w:rsidP="007E1EC2">
      <w:pPr>
        <w:rPr>
          <w:rFonts w:ascii="Calibri" w:hAnsi="Calibri"/>
          <w:sz w:val="24"/>
          <w:szCs w:val="24"/>
        </w:rPr>
      </w:pPr>
    </w:p>
    <w:p w:rsidR="00D61E81" w:rsidRDefault="00D61E81" w:rsidP="007E1EC2">
      <w:pPr>
        <w:rPr>
          <w:rFonts w:ascii="Calibri" w:hAnsi="Calibri"/>
          <w:sz w:val="24"/>
          <w:szCs w:val="24"/>
        </w:rPr>
      </w:pPr>
    </w:p>
    <w:p w:rsidR="00BC2602" w:rsidRDefault="00BC2602" w:rsidP="007E1EC2">
      <w:pPr>
        <w:rPr>
          <w:rFonts w:ascii="Calibri" w:hAnsi="Calibri"/>
          <w:sz w:val="24"/>
          <w:szCs w:val="24"/>
        </w:rPr>
      </w:pPr>
      <w:r>
        <w:rPr>
          <w:rFonts w:ascii="Calibri" w:hAnsi="Calibri"/>
          <w:sz w:val="24"/>
          <w:szCs w:val="24"/>
        </w:rPr>
        <w:lastRenderedPageBreak/>
        <w:t>Diskussionsfråga 1</w:t>
      </w:r>
    </w:p>
    <w:p w:rsidR="00D872E6" w:rsidRDefault="00BC2602" w:rsidP="00610247">
      <w:pPr>
        <w:rPr>
          <w:rFonts w:ascii="Calibri" w:hAnsi="Calibri"/>
        </w:rPr>
      </w:pPr>
      <w:r w:rsidRPr="00BC2602">
        <w:rPr>
          <w:rFonts w:ascii="Calibri" w:hAnsi="Calibri"/>
          <w:noProof/>
        </w:rPr>
        <w:drawing>
          <wp:inline distT="0" distB="0" distL="0" distR="0" wp14:anchorId="3A32AC3F" wp14:editId="2C484A2E">
            <wp:extent cx="2438400" cy="1828800"/>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47472" cy="1835604"/>
                    </a:xfrm>
                    <a:prstGeom prst="rect">
                      <a:avLst/>
                    </a:prstGeom>
                  </pic:spPr>
                </pic:pic>
              </a:graphicData>
            </a:graphic>
          </wp:inline>
        </w:drawing>
      </w:r>
    </w:p>
    <w:p w:rsidR="00C35690" w:rsidRDefault="00E3625E" w:rsidP="00C35690">
      <w:pPr>
        <w:rPr>
          <w:rFonts w:ascii="Calibri" w:hAnsi="Calibri"/>
        </w:rPr>
      </w:pPr>
      <w:r>
        <w:rPr>
          <w:rFonts w:ascii="Calibri" w:hAnsi="Calibri"/>
        </w:rPr>
        <w:t>Diskutera lite runt detta, behöver ni förändra hur ni uppdaterar och sparar era läkemedelsdokument</w:t>
      </w:r>
      <w:r w:rsidR="00C35690">
        <w:rPr>
          <w:rFonts w:ascii="Calibri" w:hAnsi="Calibri"/>
        </w:rPr>
        <w:t>. Har ni ingen lokal rutin och behöver skriva alternativt göra stora förändringar i befintlig så kan ni med fördel använda er av mallen bilaga 1, ”Lokal rutin för läkemedelshantering”.</w:t>
      </w:r>
    </w:p>
    <w:p w:rsidR="00802C1C" w:rsidRDefault="00802C1C" w:rsidP="00610247">
      <w:pPr>
        <w:rPr>
          <w:rFonts w:ascii="Calibri" w:hAnsi="Calibri"/>
        </w:rPr>
      </w:pPr>
    </w:p>
    <w:p w:rsidR="00E8229E" w:rsidRDefault="00FB17FC" w:rsidP="00610247">
      <w:pPr>
        <w:rPr>
          <w:rFonts w:ascii="Calibri" w:hAnsi="Calibri"/>
        </w:rPr>
      </w:pPr>
      <w:r>
        <w:rPr>
          <w:rFonts w:ascii="Calibri" w:hAnsi="Calibri"/>
        </w:rPr>
        <w:t>Diskussionsfråga 2</w:t>
      </w:r>
    </w:p>
    <w:p w:rsidR="0079643C" w:rsidRDefault="00AB697C" w:rsidP="003B70AE">
      <w:pPr>
        <w:rPr>
          <w:noProof/>
        </w:rPr>
      </w:pPr>
      <w:r w:rsidRPr="00AB697C">
        <w:rPr>
          <w:noProof/>
        </w:rPr>
        <w:drawing>
          <wp:inline distT="0" distB="0" distL="0" distR="0" wp14:anchorId="67C544E6" wp14:editId="5D48A441">
            <wp:extent cx="2463799" cy="1847850"/>
            <wp:effectExtent l="0" t="0"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00930" cy="1875698"/>
                    </a:xfrm>
                    <a:prstGeom prst="rect">
                      <a:avLst/>
                    </a:prstGeom>
                  </pic:spPr>
                </pic:pic>
              </a:graphicData>
            </a:graphic>
          </wp:inline>
        </w:drawing>
      </w:r>
    </w:p>
    <w:p w:rsidR="007E1EC2" w:rsidRDefault="00AB697C" w:rsidP="003B70AE">
      <w:pPr>
        <w:rPr>
          <w:noProof/>
        </w:rPr>
      </w:pPr>
      <w:r>
        <w:rPr>
          <w:noProof/>
        </w:rPr>
        <w:t xml:space="preserve">Gå in på intranätet och visa vart listan ligger, </w:t>
      </w:r>
      <w:hyperlink r:id="rId14" w:history="1">
        <w:r w:rsidR="007D4FA1" w:rsidRPr="006C420E">
          <w:rPr>
            <w:rStyle w:val="Hyperlnk"/>
            <w:noProof/>
          </w:rPr>
          <w:t>https://intranat.rvn.se/sv/information-och-arbetssatt/vardens-arbetssatt/lakemedel/lakemedelshantering/lakemedelsservice/</w:t>
        </w:r>
      </w:hyperlink>
      <w:r w:rsidR="007D4FA1">
        <w:rPr>
          <w:noProof/>
        </w:rPr>
        <w:tab/>
      </w:r>
    </w:p>
    <w:p w:rsidR="007E1EC2" w:rsidRDefault="007D4FA1" w:rsidP="003B70AE">
      <w:pPr>
        <w:rPr>
          <w:noProof/>
        </w:rPr>
      </w:pPr>
      <w:r>
        <w:rPr>
          <w:noProof/>
        </w:rPr>
        <w:t>Diskutera vad som är bäst för din enhet är det läkemedelsansvarig eller är det allas ansvar att man ser till att senaste listan alltid finns tillgänglig i läkemedelsrummet.</w:t>
      </w:r>
      <w:r w:rsidR="00933449">
        <w:rPr>
          <w:noProof/>
        </w:rPr>
        <w:t xml:space="preserve"> Idag skickas </w:t>
      </w:r>
      <w:r w:rsidR="00FE5371">
        <w:rPr>
          <w:noProof/>
        </w:rPr>
        <w:t>ny version av</w:t>
      </w:r>
      <w:r w:rsidR="00933449">
        <w:rPr>
          <w:noProof/>
        </w:rPr>
        <w:t xml:space="preserve"> lista</w:t>
      </w:r>
      <w:r w:rsidR="00FE5371">
        <w:rPr>
          <w:noProof/>
        </w:rPr>
        <w:t>n</w:t>
      </w:r>
      <w:r w:rsidR="00933449">
        <w:rPr>
          <w:noProof/>
        </w:rPr>
        <w:t xml:space="preserve"> till enhetschef och läkemedelsansvarig sjuksköterska</w:t>
      </w:r>
      <w:r w:rsidR="006019D5">
        <w:rPr>
          <w:noProof/>
        </w:rPr>
        <w:t>.</w:t>
      </w:r>
    </w:p>
    <w:p w:rsidR="00F511D1" w:rsidRDefault="00F511D1" w:rsidP="00B47577">
      <w:pPr>
        <w:pStyle w:val="Normalwebb"/>
        <w:spacing w:before="115" w:beforeAutospacing="0" w:after="0" w:afterAutospacing="0"/>
        <w:rPr>
          <w:rFonts w:ascii="Calibri" w:hAnsi="Calibri"/>
        </w:rPr>
      </w:pPr>
    </w:p>
    <w:p w:rsidR="00F511D1" w:rsidRDefault="00AB6A3B" w:rsidP="00B47577">
      <w:pPr>
        <w:pStyle w:val="Normalwebb"/>
        <w:spacing w:before="115" w:beforeAutospacing="0" w:after="0" w:afterAutospacing="0"/>
        <w:rPr>
          <w:rFonts w:ascii="Calibri" w:hAnsi="Calibri"/>
        </w:rPr>
      </w:pPr>
      <w:r w:rsidRPr="00AB6A3B">
        <w:rPr>
          <w:rFonts w:ascii="Calibri" w:hAnsi="Calibri"/>
          <w:noProof/>
        </w:rPr>
        <w:drawing>
          <wp:inline distT="0" distB="0" distL="0" distR="0" wp14:anchorId="4BEA79E9" wp14:editId="0EFA077E">
            <wp:extent cx="2352040" cy="1878330"/>
            <wp:effectExtent l="0" t="0" r="0" b="762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358170" cy="1883225"/>
                    </a:xfrm>
                    <a:prstGeom prst="rect">
                      <a:avLst/>
                    </a:prstGeom>
                  </pic:spPr>
                </pic:pic>
              </a:graphicData>
            </a:graphic>
          </wp:inline>
        </w:drawing>
      </w:r>
    </w:p>
    <w:p w:rsidR="00BE5D6B" w:rsidRDefault="00BE5D6B" w:rsidP="00C47849">
      <w:pPr>
        <w:pStyle w:val="Default"/>
        <w:ind w:right="-4217"/>
      </w:pPr>
    </w:p>
    <w:p w:rsidR="004857D1" w:rsidRDefault="00C47849" w:rsidP="00C47849">
      <w:pPr>
        <w:pStyle w:val="Default"/>
        <w:ind w:right="-4217"/>
      </w:pPr>
      <w:r>
        <w:t xml:space="preserve">Visa vart på intranätet ny lista finns för utskrift, bilaga </w:t>
      </w:r>
      <w:r w:rsidR="00727616">
        <w:t>8</w:t>
      </w:r>
      <w:r>
        <w:t xml:space="preserve">, </w:t>
      </w:r>
      <w:r w:rsidR="004857D1">
        <w:t>Protokoll för skötsel av läkemedelsförråd inkl.</w:t>
      </w:r>
    </w:p>
    <w:p w:rsidR="004857D1" w:rsidRDefault="004857D1" w:rsidP="00C47849">
      <w:pPr>
        <w:pStyle w:val="Default"/>
        <w:ind w:right="-4217"/>
      </w:pPr>
      <w:r>
        <w:t xml:space="preserve"> temperatur, hållbarhet och städ</w:t>
      </w:r>
    </w:p>
    <w:p w:rsidR="004857D1" w:rsidRDefault="00C47849" w:rsidP="00C47849">
      <w:pPr>
        <w:pStyle w:val="Default"/>
        <w:ind w:right="-4217"/>
      </w:pPr>
      <w:r>
        <w:t>Du hittar den här</w:t>
      </w:r>
      <w:r w:rsidR="004857D1">
        <w:t>,</w:t>
      </w:r>
    </w:p>
    <w:p w:rsidR="00C47849" w:rsidRPr="003B70AE" w:rsidRDefault="00BE5D6B" w:rsidP="00C47849">
      <w:pPr>
        <w:pStyle w:val="Default"/>
        <w:ind w:right="-4217"/>
      </w:pPr>
      <w:r w:rsidRPr="00BE5D6B">
        <w:rPr>
          <w:rFonts w:asciiTheme="minorHAnsi" w:hAnsiTheme="minorHAnsi" w:cstheme="minorBidi"/>
          <w:color w:val="auto"/>
          <w:sz w:val="22"/>
          <w:szCs w:val="22"/>
        </w:rPr>
        <w:t xml:space="preserve"> </w:t>
      </w:r>
      <w:hyperlink r:id="rId16" w:history="1">
        <w:r w:rsidRPr="00BE5D6B">
          <w:rPr>
            <w:rFonts w:asciiTheme="minorHAnsi" w:hAnsiTheme="minorHAnsi" w:cstheme="minorBidi"/>
            <w:color w:val="0000FF"/>
            <w:sz w:val="22"/>
            <w:szCs w:val="22"/>
            <w:u w:val="single"/>
          </w:rPr>
          <w:t>https://intranat.rvn.se/sv/information-och-arbetssatt/vardens-arbetssatt/lakemedel/lakemedelshantering/</w:t>
        </w:r>
      </w:hyperlink>
    </w:p>
    <w:p w:rsidR="00DF65DB" w:rsidRPr="00401B71" w:rsidRDefault="00DF65DB" w:rsidP="00DF65DB">
      <w:pPr>
        <w:pStyle w:val="Normalwebb"/>
        <w:spacing w:before="0" w:beforeAutospacing="0" w:after="0" w:afterAutospacing="0"/>
        <w:rPr>
          <w:rFonts w:ascii="Calibri" w:eastAsia="+mn-ea" w:hAnsi="Calibri" w:cs="+mn-cs"/>
          <w:color w:val="000000"/>
          <w:kern w:val="24"/>
          <w:sz w:val="22"/>
          <w:szCs w:val="22"/>
        </w:rPr>
      </w:pPr>
    </w:p>
    <w:p w:rsidR="007B1FD2" w:rsidRPr="007B1FD2" w:rsidRDefault="007B1FD2" w:rsidP="007B1FD2">
      <w:pPr>
        <w:autoSpaceDE w:val="0"/>
        <w:autoSpaceDN w:val="0"/>
        <w:adjustRightInd w:val="0"/>
        <w:spacing w:after="0" w:line="240" w:lineRule="auto"/>
        <w:rPr>
          <w:rFonts w:cs="TimesNewRomanPSMT"/>
          <w:sz w:val="24"/>
          <w:szCs w:val="24"/>
        </w:rPr>
      </w:pPr>
      <w:r w:rsidRPr="007B1FD2">
        <w:rPr>
          <w:rFonts w:cs="TimesNewRomanPSMT"/>
          <w:sz w:val="24"/>
          <w:szCs w:val="24"/>
        </w:rPr>
        <w:t>Lokala rutiner bör finnas för vilka åtgärder som ska vidtas när temperaturavvikelser</w:t>
      </w:r>
    </w:p>
    <w:p w:rsidR="007B1FD2" w:rsidRPr="007B1FD2" w:rsidRDefault="007B1FD2" w:rsidP="007B1FD2">
      <w:pPr>
        <w:autoSpaceDE w:val="0"/>
        <w:autoSpaceDN w:val="0"/>
        <w:adjustRightInd w:val="0"/>
        <w:spacing w:after="0" w:line="240" w:lineRule="auto"/>
        <w:rPr>
          <w:rFonts w:cs="TimesNewRomanPSMT"/>
          <w:sz w:val="24"/>
          <w:szCs w:val="24"/>
        </w:rPr>
      </w:pPr>
      <w:r w:rsidRPr="007B1FD2">
        <w:rPr>
          <w:rFonts w:cs="TimesNewRomanPSMT"/>
          <w:sz w:val="24"/>
          <w:szCs w:val="24"/>
        </w:rPr>
        <w:t>upptäcks. Eventuella vidtagna åtgärder och ställningstaganden ska dokumenteras på</w:t>
      </w:r>
    </w:p>
    <w:p w:rsidR="00DF65DB" w:rsidRPr="007B1FD2" w:rsidRDefault="007B1FD2" w:rsidP="00DF65DB">
      <w:pPr>
        <w:pStyle w:val="Normalwebb"/>
        <w:spacing w:before="0" w:beforeAutospacing="0" w:after="0" w:afterAutospacing="0"/>
        <w:rPr>
          <w:rFonts w:asciiTheme="minorHAnsi" w:eastAsia="+mn-ea" w:hAnsiTheme="minorHAnsi" w:cs="+mn-cs"/>
          <w:color w:val="000000"/>
          <w:kern w:val="24"/>
        </w:rPr>
      </w:pPr>
      <w:r w:rsidRPr="007B1FD2">
        <w:rPr>
          <w:rFonts w:asciiTheme="minorHAnsi" w:hAnsiTheme="minorHAnsi" w:cs="TimesNewRomanPSMT"/>
        </w:rPr>
        <w:t>temperaturlistan.</w:t>
      </w:r>
      <w:r>
        <w:rPr>
          <w:rFonts w:asciiTheme="minorHAnsi" w:eastAsia="+mn-ea" w:hAnsiTheme="minorHAnsi" w:cs="+mn-cs"/>
          <w:color w:val="000000"/>
          <w:kern w:val="24"/>
        </w:rPr>
        <w:t xml:space="preserve"> </w:t>
      </w:r>
      <w:r w:rsidR="009C4E88">
        <w:rPr>
          <w:rFonts w:ascii="Calibri" w:eastAsia="+mn-ea" w:hAnsi="Calibri" w:cs="+mn-cs"/>
          <w:color w:val="000000"/>
          <w:kern w:val="24"/>
        </w:rPr>
        <w:t xml:space="preserve">Ifylld temperaturlista sparas tills läkemedelsansvarig sjuksköterska </w:t>
      </w:r>
      <w:r w:rsidR="00303A31">
        <w:rPr>
          <w:rFonts w:ascii="Calibri" w:eastAsia="+mn-ea" w:hAnsi="Calibri" w:cs="+mn-cs"/>
          <w:color w:val="000000"/>
          <w:kern w:val="24"/>
        </w:rPr>
        <w:t xml:space="preserve">alternativt annan av enheten utsedd person </w:t>
      </w:r>
      <w:r w:rsidR="009C4E88">
        <w:rPr>
          <w:rFonts w:ascii="Calibri" w:eastAsia="+mn-ea" w:hAnsi="Calibri" w:cs="+mn-cs"/>
          <w:color w:val="000000"/>
          <w:kern w:val="24"/>
        </w:rPr>
        <w:t>tittat igenom</w:t>
      </w:r>
      <w:r w:rsidR="00303A31">
        <w:rPr>
          <w:rFonts w:ascii="Calibri" w:eastAsia="+mn-ea" w:hAnsi="Calibri" w:cs="+mn-cs"/>
          <w:color w:val="000000"/>
          <w:kern w:val="24"/>
        </w:rPr>
        <w:t xml:space="preserve"> lista</w:t>
      </w:r>
      <w:r>
        <w:rPr>
          <w:rFonts w:ascii="Calibri" w:eastAsia="+mn-ea" w:hAnsi="Calibri" w:cs="+mn-cs"/>
          <w:color w:val="000000"/>
          <w:kern w:val="24"/>
        </w:rPr>
        <w:t>n</w:t>
      </w:r>
      <w:r w:rsidR="00FC3AD2">
        <w:rPr>
          <w:rFonts w:ascii="Calibri" w:eastAsia="+mn-ea" w:hAnsi="Calibri" w:cs="+mn-cs"/>
          <w:color w:val="000000"/>
          <w:kern w:val="24"/>
        </w:rPr>
        <w:t xml:space="preserve"> och med sitt signum godkänt den.</w:t>
      </w:r>
    </w:p>
    <w:p w:rsidR="00094B0E" w:rsidRPr="00610247" w:rsidRDefault="00094B0E" w:rsidP="00610247">
      <w:pPr>
        <w:rPr>
          <w:rFonts w:ascii="Calibri" w:hAnsi="Calibri"/>
        </w:rPr>
      </w:pPr>
    </w:p>
    <w:p w:rsidR="00645F9A" w:rsidRDefault="0031609C">
      <w:pPr>
        <w:rPr>
          <w:rFonts w:ascii="Calibri" w:hAnsi="Calibri"/>
          <w:sz w:val="24"/>
          <w:szCs w:val="24"/>
        </w:rPr>
      </w:pPr>
      <w:r w:rsidRPr="0031609C">
        <w:rPr>
          <w:rFonts w:ascii="Calibri" w:hAnsi="Calibri"/>
          <w:noProof/>
          <w:sz w:val="24"/>
          <w:szCs w:val="24"/>
        </w:rPr>
        <w:drawing>
          <wp:inline distT="0" distB="0" distL="0" distR="0" wp14:anchorId="15F2BCAA" wp14:editId="5A11A14A">
            <wp:extent cx="2209800" cy="165735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225199" cy="1668899"/>
                    </a:xfrm>
                    <a:prstGeom prst="rect">
                      <a:avLst/>
                    </a:prstGeom>
                  </pic:spPr>
                </pic:pic>
              </a:graphicData>
            </a:graphic>
          </wp:inline>
        </w:drawing>
      </w:r>
    </w:p>
    <w:p w:rsidR="00820E16" w:rsidRPr="000217CD" w:rsidRDefault="00820E16">
      <w:pPr>
        <w:rPr>
          <w:rFonts w:ascii="Calibri" w:hAnsi="Calibri"/>
          <w:sz w:val="24"/>
          <w:szCs w:val="24"/>
        </w:rPr>
      </w:pPr>
    </w:p>
    <w:p w:rsidR="0000581F" w:rsidRDefault="003C10E7" w:rsidP="00604584">
      <w:r w:rsidRPr="003C10E7">
        <w:rPr>
          <w:noProof/>
        </w:rPr>
        <w:drawing>
          <wp:inline distT="0" distB="0" distL="0" distR="0" wp14:anchorId="1F9BD284" wp14:editId="55901076">
            <wp:extent cx="2181225" cy="1635919"/>
            <wp:effectExtent l="0" t="0" r="0" b="254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206349" cy="1654762"/>
                    </a:xfrm>
                    <a:prstGeom prst="rect">
                      <a:avLst/>
                    </a:prstGeom>
                  </pic:spPr>
                </pic:pic>
              </a:graphicData>
            </a:graphic>
          </wp:inline>
        </w:drawing>
      </w:r>
      <w:bookmarkStart w:id="1" w:name="_Hlk24625366"/>
    </w:p>
    <w:p w:rsidR="00D61E81" w:rsidRDefault="00D61E81" w:rsidP="00604584">
      <w:pPr>
        <w:rPr>
          <w:b/>
        </w:rPr>
      </w:pPr>
    </w:p>
    <w:p w:rsidR="003E5335" w:rsidRDefault="00604584" w:rsidP="00604584">
      <w:r w:rsidRPr="004E664F">
        <w:rPr>
          <w:b/>
        </w:rPr>
        <w:t>Redovisning</w:t>
      </w:r>
    </w:p>
    <w:p w:rsidR="00A329BE" w:rsidRPr="000217CD" w:rsidRDefault="00604584" w:rsidP="00604584">
      <w:r w:rsidRPr="008D7D7D">
        <w:t xml:space="preserve">Utbildningen är obligatorisk. </w:t>
      </w:r>
      <w:r w:rsidRPr="008D7D7D">
        <w:rPr>
          <w:rFonts w:eastAsiaTheme="minorEastAsia" w:hAnsi="Calibri"/>
          <w:color w:val="000000" w:themeColor="text1"/>
          <w:kern w:val="24"/>
        </w:rPr>
        <w:t>Utse någon som för anteckningar under mötet</w:t>
      </w:r>
      <w:r>
        <w:rPr>
          <w:rFonts w:eastAsiaTheme="minorEastAsia" w:hAnsi="Calibri"/>
          <w:color w:val="000000" w:themeColor="text1"/>
          <w:kern w:val="24"/>
        </w:rPr>
        <w:t>.</w:t>
      </w:r>
      <w:bookmarkEnd w:id="1"/>
      <w:r>
        <w:rPr>
          <w:rFonts w:eastAsiaTheme="minorEastAsia" w:hAnsi="Calibri"/>
          <w:color w:val="000000" w:themeColor="text1"/>
          <w:kern w:val="24"/>
          <w:sz w:val="56"/>
          <w:szCs w:val="56"/>
        </w:rPr>
        <w:t xml:space="preserve"> </w:t>
      </w:r>
      <w:r w:rsidRPr="008D7D7D">
        <w:rPr>
          <w:iCs/>
        </w:rPr>
        <w:t>Skicka deltagarlistor</w:t>
      </w:r>
      <w:r>
        <w:rPr>
          <w:iCs/>
        </w:rPr>
        <w:t>,</w:t>
      </w:r>
      <w:r w:rsidRPr="008D7D7D">
        <w:rPr>
          <w:iCs/>
        </w:rPr>
        <w:t xml:space="preserve"> frågor, synpunkter samt eventuella beslut till förändrat arbetssätt efter genomgånget material ett</w:t>
      </w:r>
      <w:r w:rsidR="009E0710">
        <w:rPr>
          <w:iCs/>
        </w:rPr>
        <w:t xml:space="preserve"> </w:t>
      </w:r>
      <w:r w:rsidRPr="008D7D7D">
        <w:rPr>
          <w:iCs/>
        </w:rPr>
        <w:t xml:space="preserve">cirkulationskuvert </w:t>
      </w:r>
      <w:r w:rsidRPr="008D7D7D">
        <w:t xml:space="preserve">till läkemedelsenheten, Regionens hus, alternativt  </w:t>
      </w:r>
      <w:hyperlink r:id="rId19" w:history="1">
        <w:r w:rsidRPr="008D7D7D">
          <w:rPr>
            <w:rStyle w:val="Hyperlnk"/>
          </w:rPr>
          <w:t>lakemedelskommitten</w:t>
        </w:r>
      </w:hyperlink>
      <w:hyperlink r:id="rId20" w:history="1">
        <w:r w:rsidRPr="008D7D7D">
          <w:rPr>
            <w:rStyle w:val="Hyperlnk"/>
          </w:rPr>
          <w:t>@rvn.se</w:t>
        </w:r>
      </w:hyperlink>
    </w:p>
    <w:sectPr w:rsidR="00A329BE" w:rsidRPr="000217CD" w:rsidSect="00C47849">
      <w:pgSz w:w="11906" w:h="16838"/>
      <w:pgMar w:top="1417" w:right="1700"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B6B11"/>
    <w:multiLevelType w:val="hybridMultilevel"/>
    <w:tmpl w:val="798A1A84"/>
    <w:lvl w:ilvl="0" w:tplc="7F30CC2A">
      <w:start w:val="1"/>
      <w:numFmt w:val="bullet"/>
      <w:lvlText w:val="•"/>
      <w:lvlJc w:val="left"/>
      <w:pPr>
        <w:tabs>
          <w:tab w:val="num" w:pos="720"/>
        </w:tabs>
        <w:ind w:left="720" w:hanging="360"/>
      </w:pPr>
      <w:rPr>
        <w:rFonts w:ascii="Arial" w:hAnsi="Arial" w:hint="default"/>
      </w:rPr>
    </w:lvl>
    <w:lvl w:ilvl="1" w:tplc="11181A68" w:tentative="1">
      <w:start w:val="1"/>
      <w:numFmt w:val="bullet"/>
      <w:lvlText w:val="•"/>
      <w:lvlJc w:val="left"/>
      <w:pPr>
        <w:tabs>
          <w:tab w:val="num" w:pos="1440"/>
        </w:tabs>
        <w:ind w:left="1440" w:hanging="360"/>
      </w:pPr>
      <w:rPr>
        <w:rFonts w:ascii="Arial" w:hAnsi="Arial" w:hint="default"/>
      </w:rPr>
    </w:lvl>
    <w:lvl w:ilvl="2" w:tplc="5CF6D712" w:tentative="1">
      <w:start w:val="1"/>
      <w:numFmt w:val="bullet"/>
      <w:lvlText w:val="•"/>
      <w:lvlJc w:val="left"/>
      <w:pPr>
        <w:tabs>
          <w:tab w:val="num" w:pos="2160"/>
        </w:tabs>
        <w:ind w:left="2160" w:hanging="360"/>
      </w:pPr>
      <w:rPr>
        <w:rFonts w:ascii="Arial" w:hAnsi="Arial" w:hint="default"/>
      </w:rPr>
    </w:lvl>
    <w:lvl w:ilvl="3" w:tplc="8A7C4C94" w:tentative="1">
      <w:start w:val="1"/>
      <w:numFmt w:val="bullet"/>
      <w:lvlText w:val="•"/>
      <w:lvlJc w:val="left"/>
      <w:pPr>
        <w:tabs>
          <w:tab w:val="num" w:pos="2880"/>
        </w:tabs>
        <w:ind w:left="2880" w:hanging="360"/>
      </w:pPr>
      <w:rPr>
        <w:rFonts w:ascii="Arial" w:hAnsi="Arial" w:hint="default"/>
      </w:rPr>
    </w:lvl>
    <w:lvl w:ilvl="4" w:tplc="32A661FC" w:tentative="1">
      <w:start w:val="1"/>
      <w:numFmt w:val="bullet"/>
      <w:lvlText w:val="•"/>
      <w:lvlJc w:val="left"/>
      <w:pPr>
        <w:tabs>
          <w:tab w:val="num" w:pos="3600"/>
        </w:tabs>
        <w:ind w:left="3600" w:hanging="360"/>
      </w:pPr>
      <w:rPr>
        <w:rFonts w:ascii="Arial" w:hAnsi="Arial" w:hint="default"/>
      </w:rPr>
    </w:lvl>
    <w:lvl w:ilvl="5" w:tplc="5DFE6796" w:tentative="1">
      <w:start w:val="1"/>
      <w:numFmt w:val="bullet"/>
      <w:lvlText w:val="•"/>
      <w:lvlJc w:val="left"/>
      <w:pPr>
        <w:tabs>
          <w:tab w:val="num" w:pos="4320"/>
        </w:tabs>
        <w:ind w:left="4320" w:hanging="360"/>
      </w:pPr>
      <w:rPr>
        <w:rFonts w:ascii="Arial" w:hAnsi="Arial" w:hint="default"/>
      </w:rPr>
    </w:lvl>
    <w:lvl w:ilvl="6" w:tplc="5FF26582" w:tentative="1">
      <w:start w:val="1"/>
      <w:numFmt w:val="bullet"/>
      <w:lvlText w:val="•"/>
      <w:lvlJc w:val="left"/>
      <w:pPr>
        <w:tabs>
          <w:tab w:val="num" w:pos="5040"/>
        </w:tabs>
        <w:ind w:left="5040" w:hanging="360"/>
      </w:pPr>
      <w:rPr>
        <w:rFonts w:ascii="Arial" w:hAnsi="Arial" w:hint="default"/>
      </w:rPr>
    </w:lvl>
    <w:lvl w:ilvl="7" w:tplc="9482EBF8" w:tentative="1">
      <w:start w:val="1"/>
      <w:numFmt w:val="bullet"/>
      <w:lvlText w:val="•"/>
      <w:lvlJc w:val="left"/>
      <w:pPr>
        <w:tabs>
          <w:tab w:val="num" w:pos="5760"/>
        </w:tabs>
        <w:ind w:left="5760" w:hanging="360"/>
      </w:pPr>
      <w:rPr>
        <w:rFonts w:ascii="Arial" w:hAnsi="Arial" w:hint="default"/>
      </w:rPr>
    </w:lvl>
    <w:lvl w:ilvl="8" w:tplc="45868BD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DAA26D5"/>
    <w:multiLevelType w:val="hybridMultilevel"/>
    <w:tmpl w:val="FF6460AE"/>
    <w:lvl w:ilvl="0" w:tplc="915A99E8">
      <w:start w:val="1"/>
      <w:numFmt w:val="bullet"/>
      <w:lvlText w:val="•"/>
      <w:lvlJc w:val="left"/>
      <w:pPr>
        <w:tabs>
          <w:tab w:val="num" w:pos="720"/>
        </w:tabs>
        <w:ind w:left="720" w:hanging="360"/>
      </w:pPr>
      <w:rPr>
        <w:rFonts w:ascii="Arial" w:hAnsi="Arial" w:hint="default"/>
      </w:rPr>
    </w:lvl>
    <w:lvl w:ilvl="1" w:tplc="C712A928" w:tentative="1">
      <w:start w:val="1"/>
      <w:numFmt w:val="bullet"/>
      <w:lvlText w:val="•"/>
      <w:lvlJc w:val="left"/>
      <w:pPr>
        <w:tabs>
          <w:tab w:val="num" w:pos="1440"/>
        </w:tabs>
        <w:ind w:left="1440" w:hanging="360"/>
      </w:pPr>
      <w:rPr>
        <w:rFonts w:ascii="Arial" w:hAnsi="Arial" w:hint="default"/>
      </w:rPr>
    </w:lvl>
    <w:lvl w:ilvl="2" w:tplc="FF3EAC36" w:tentative="1">
      <w:start w:val="1"/>
      <w:numFmt w:val="bullet"/>
      <w:lvlText w:val="•"/>
      <w:lvlJc w:val="left"/>
      <w:pPr>
        <w:tabs>
          <w:tab w:val="num" w:pos="2160"/>
        </w:tabs>
        <w:ind w:left="2160" w:hanging="360"/>
      </w:pPr>
      <w:rPr>
        <w:rFonts w:ascii="Arial" w:hAnsi="Arial" w:hint="default"/>
      </w:rPr>
    </w:lvl>
    <w:lvl w:ilvl="3" w:tplc="293E8D02" w:tentative="1">
      <w:start w:val="1"/>
      <w:numFmt w:val="bullet"/>
      <w:lvlText w:val="•"/>
      <w:lvlJc w:val="left"/>
      <w:pPr>
        <w:tabs>
          <w:tab w:val="num" w:pos="2880"/>
        </w:tabs>
        <w:ind w:left="2880" w:hanging="360"/>
      </w:pPr>
      <w:rPr>
        <w:rFonts w:ascii="Arial" w:hAnsi="Arial" w:hint="default"/>
      </w:rPr>
    </w:lvl>
    <w:lvl w:ilvl="4" w:tplc="2D881214" w:tentative="1">
      <w:start w:val="1"/>
      <w:numFmt w:val="bullet"/>
      <w:lvlText w:val="•"/>
      <w:lvlJc w:val="left"/>
      <w:pPr>
        <w:tabs>
          <w:tab w:val="num" w:pos="3600"/>
        </w:tabs>
        <w:ind w:left="3600" w:hanging="360"/>
      </w:pPr>
      <w:rPr>
        <w:rFonts w:ascii="Arial" w:hAnsi="Arial" w:hint="default"/>
      </w:rPr>
    </w:lvl>
    <w:lvl w:ilvl="5" w:tplc="09ECE8DA" w:tentative="1">
      <w:start w:val="1"/>
      <w:numFmt w:val="bullet"/>
      <w:lvlText w:val="•"/>
      <w:lvlJc w:val="left"/>
      <w:pPr>
        <w:tabs>
          <w:tab w:val="num" w:pos="4320"/>
        </w:tabs>
        <w:ind w:left="4320" w:hanging="360"/>
      </w:pPr>
      <w:rPr>
        <w:rFonts w:ascii="Arial" w:hAnsi="Arial" w:hint="default"/>
      </w:rPr>
    </w:lvl>
    <w:lvl w:ilvl="6" w:tplc="7C16E154" w:tentative="1">
      <w:start w:val="1"/>
      <w:numFmt w:val="bullet"/>
      <w:lvlText w:val="•"/>
      <w:lvlJc w:val="left"/>
      <w:pPr>
        <w:tabs>
          <w:tab w:val="num" w:pos="5040"/>
        </w:tabs>
        <w:ind w:left="5040" w:hanging="360"/>
      </w:pPr>
      <w:rPr>
        <w:rFonts w:ascii="Arial" w:hAnsi="Arial" w:hint="default"/>
      </w:rPr>
    </w:lvl>
    <w:lvl w:ilvl="7" w:tplc="DF682952" w:tentative="1">
      <w:start w:val="1"/>
      <w:numFmt w:val="bullet"/>
      <w:lvlText w:val="•"/>
      <w:lvlJc w:val="left"/>
      <w:pPr>
        <w:tabs>
          <w:tab w:val="num" w:pos="5760"/>
        </w:tabs>
        <w:ind w:left="5760" w:hanging="360"/>
      </w:pPr>
      <w:rPr>
        <w:rFonts w:ascii="Arial" w:hAnsi="Arial" w:hint="default"/>
      </w:rPr>
    </w:lvl>
    <w:lvl w:ilvl="8" w:tplc="7BD05B8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BCE7A57"/>
    <w:multiLevelType w:val="hybridMultilevel"/>
    <w:tmpl w:val="66B6CE1E"/>
    <w:lvl w:ilvl="0" w:tplc="2C203700">
      <w:numFmt w:val="bullet"/>
      <w:lvlText w:val="-"/>
      <w:lvlJc w:val="left"/>
      <w:pPr>
        <w:ind w:left="1665" w:hanging="360"/>
      </w:pPr>
      <w:rPr>
        <w:rFonts w:ascii="Calibri" w:eastAsiaTheme="minorHAnsi" w:hAnsi="Calibri" w:cs="Calibri"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3" w15:restartNumberingAfterBreak="0">
    <w:nsid w:val="6DA23072"/>
    <w:multiLevelType w:val="hybridMultilevel"/>
    <w:tmpl w:val="6F848872"/>
    <w:lvl w:ilvl="0" w:tplc="ED9039BC">
      <w:start w:val="1"/>
      <w:numFmt w:val="bullet"/>
      <w:lvlText w:val="•"/>
      <w:lvlJc w:val="left"/>
      <w:pPr>
        <w:tabs>
          <w:tab w:val="num" w:pos="720"/>
        </w:tabs>
        <w:ind w:left="720" w:hanging="360"/>
      </w:pPr>
      <w:rPr>
        <w:rFonts w:ascii="Arial" w:hAnsi="Arial" w:hint="default"/>
      </w:rPr>
    </w:lvl>
    <w:lvl w:ilvl="1" w:tplc="52EA4130" w:tentative="1">
      <w:start w:val="1"/>
      <w:numFmt w:val="bullet"/>
      <w:lvlText w:val="•"/>
      <w:lvlJc w:val="left"/>
      <w:pPr>
        <w:tabs>
          <w:tab w:val="num" w:pos="1440"/>
        </w:tabs>
        <w:ind w:left="1440" w:hanging="360"/>
      </w:pPr>
      <w:rPr>
        <w:rFonts w:ascii="Arial" w:hAnsi="Arial" w:hint="default"/>
      </w:rPr>
    </w:lvl>
    <w:lvl w:ilvl="2" w:tplc="49802F84" w:tentative="1">
      <w:start w:val="1"/>
      <w:numFmt w:val="bullet"/>
      <w:lvlText w:val="•"/>
      <w:lvlJc w:val="left"/>
      <w:pPr>
        <w:tabs>
          <w:tab w:val="num" w:pos="2160"/>
        </w:tabs>
        <w:ind w:left="2160" w:hanging="360"/>
      </w:pPr>
      <w:rPr>
        <w:rFonts w:ascii="Arial" w:hAnsi="Arial" w:hint="default"/>
      </w:rPr>
    </w:lvl>
    <w:lvl w:ilvl="3" w:tplc="3200783C" w:tentative="1">
      <w:start w:val="1"/>
      <w:numFmt w:val="bullet"/>
      <w:lvlText w:val="•"/>
      <w:lvlJc w:val="left"/>
      <w:pPr>
        <w:tabs>
          <w:tab w:val="num" w:pos="2880"/>
        </w:tabs>
        <w:ind w:left="2880" w:hanging="360"/>
      </w:pPr>
      <w:rPr>
        <w:rFonts w:ascii="Arial" w:hAnsi="Arial" w:hint="default"/>
      </w:rPr>
    </w:lvl>
    <w:lvl w:ilvl="4" w:tplc="1C46F8DC" w:tentative="1">
      <w:start w:val="1"/>
      <w:numFmt w:val="bullet"/>
      <w:lvlText w:val="•"/>
      <w:lvlJc w:val="left"/>
      <w:pPr>
        <w:tabs>
          <w:tab w:val="num" w:pos="3600"/>
        </w:tabs>
        <w:ind w:left="3600" w:hanging="360"/>
      </w:pPr>
      <w:rPr>
        <w:rFonts w:ascii="Arial" w:hAnsi="Arial" w:hint="default"/>
      </w:rPr>
    </w:lvl>
    <w:lvl w:ilvl="5" w:tplc="A6280118" w:tentative="1">
      <w:start w:val="1"/>
      <w:numFmt w:val="bullet"/>
      <w:lvlText w:val="•"/>
      <w:lvlJc w:val="left"/>
      <w:pPr>
        <w:tabs>
          <w:tab w:val="num" w:pos="4320"/>
        </w:tabs>
        <w:ind w:left="4320" w:hanging="360"/>
      </w:pPr>
      <w:rPr>
        <w:rFonts w:ascii="Arial" w:hAnsi="Arial" w:hint="default"/>
      </w:rPr>
    </w:lvl>
    <w:lvl w:ilvl="6" w:tplc="4A32CF48" w:tentative="1">
      <w:start w:val="1"/>
      <w:numFmt w:val="bullet"/>
      <w:lvlText w:val="•"/>
      <w:lvlJc w:val="left"/>
      <w:pPr>
        <w:tabs>
          <w:tab w:val="num" w:pos="5040"/>
        </w:tabs>
        <w:ind w:left="5040" w:hanging="360"/>
      </w:pPr>
      <w:rPr>
        <w:rFonts w:ascii="Arial" w:hAnsi="Arial" w:hint="default"/>
      </w:rPr>
    </w:lvl>
    <w:lvl w:ilvl="7" w:tplc="BC385A82" w:tentative="1">
      <w:start w:val="1"/>
      <w:numFmt w:val="bullet"/>
      <w:lvlText w:val="•"/>
      <w:lvlJc w:val="left"/>
      <w:pPr>
        <w:tabs>
          <w:tab w:val="num" w:pos="5760"/>
        </w:tabs>
        <w:ind w:left="5760" w:hanging="360"/>
      </w:pPr>
      <w:rPr>
        <w:rFonts w:ascii="Arial" w:hAnsi="Arial" w:hint="default"/>
      </w:rPr>
    </w:lvl>
    <w:lvl w:ilvl="8" w:tplc="9E0A912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1A64578"/>
    <w:multiLevelType w:val="hybridMultilevel"/>
    <w:tmpl w:val="BCACAEA6"/>
    <w:lvl w:ilvl="0" w:tplc="A51E0CC0">
      <w:start w:val="1"/>
      <w:numFmt w:val="bullet"/>
      <w:lvlText w:val="•"/>
      <w:lvlJc w:val="left"/>
      <w:pPr>
        <w:tabs>
          <w:tab w:val="num" w:pos="720"/>
        </w:tabs>
        <w:ind w:left="720" w:hanging="360"/>
      </w:pPr>
      <w:rPr>
        <w:rFonts w:ascii="Arial" w:hAnsi="Arial" w:hint="default"/>
      </w:rPr>
    </w:lvl>
    <w:lvl w:ilvl="1" w:tplc="9AF2A0CC" w:tentative="1">
      <w:start w:val="1"/>
      <w:numFmt w:val="bullet"/>
      <w:lvlText w:val="•"/>
      <w:lvlJc w:val="left"/>
      <w:pPr>
        <w:tabs>
          <w:tab w:val="num" w:pos="1440"/>
        </w:tabs>
        <w:ind w:left="1440" w:hanging="360"/>
      </w:pPr>
      <w:rPr>
        <w:rFonts w:ascii="Arial" w:hAnsi="Arial" w:hint="default"/>
      </w:rPr>
    </w:lvl>
    <w:lvl w:ilvl="2" w:tplc="613EF29E" w:tentative="1">
      <w:start w:val="1"/>
      <w:numFmt w:val="bullet"/>
      <w:lvlText w:val="•"/>
      <w:lvlJc w:val="left"/>
      <w:pPr>
        <w:tabs>
          <w:tab w:val="num" w:pos="2160"/>
        </w:tabs>
        <w:ind w:left="2160" w:hanging="360"/>
      </w:pPr>
      <w:rPr>
        <w:rFonts w:ascii="Arial" w:hAnsi="Arial" w:hint="default"/>
      </w:rPr>
    </w:lvl>
    <w:lvl w:ilvl="3" w:tplc="1E26073E" w:tentative="1">
      <w:start w:val="1"/>
      <w:numFmt w:val="bullet"/>
      <w:lvlText w:val="•"/>
      <w:lvlJc w:val="left"/>
      <w:pPr>
        <w:tabs>
          <w:tab w:val="num" w:pos="2880"/>
        </w:tabs>
        <w:ind w:left="2880" w:hanging="360"/>
      </w:pPr>
      <w:rPr>
        <w:rFonts w:ascii="Arial" w:hAnsi="Arial" w:hint="default"/>
      </w:rPr>
    </w:lvl>
    <w:lvl w:ilvl="4" w:tplc="284A1922" w:tentative="1">
      <w:start w:val="1"/>
      <w:numFmt w:val="bullet"/>
      <w:lvlText w:val="•"/>
      <w:lvlJc w:val="left"/>
      <w:pPr>
        <w:tabs>
          <w:tab w:val="num" w:pos="3600"/>
        </w:tabs>
        <w:ind w:left="3600" w:hanging="360"/>
      </w:pPr>
      <w:rPr>
        <w:rFonts w:ascii="Arial" w:hAnsi="Arial" w:hint="default"/>
      </w:rPr>
    </w:lvl>
    <w:lvl w:ilvl="5" w:tplc="B250154C" w:tentative="1">
      <w:start w:val="1"/>
      <w:numFmt w:val="bullet"/>
      <w:lvlText w:val="•"/>
      <w:lvlJc w:val="left"/>
      <w:pPr>
        <w:tabs>
          <w:tab w:val="num" w:pos="4320"/>
        </w:tabs>
        <w:ind w:left="4320" w:hanging="360"/>
      </w:pPr>
      <w:rPr>
        <w:rFonts w:ascii="Arial" w:hAnsi="Arial" w:hint="default"/>
      </w:rPr>
    </w:lvl>
    <w:lvl w:ilvl="6" w:tplc="633EBE8E" w:tentative="1">
      <w:start w:val="1"/>
      <w:numFmt w:val="bullet"/>
      <w:lvlText w:val="•"/>
      <w:lvlJc w:val="left"/>
      <w:pPr>
        <w:tabs>
          <w:tab w:val="num" w:pos="5040"/>
        </w:tabs>
        <w:ind w:left="5040" w:hanging="360"/>
      </w:pPr>
      <w:rPr>
        <w:rFonts w:ascii="Arial" w:hAnsi="Arial" w:hint="default"/>
      </w:rPr>
    </w:lvl>
    <w:lvl w:ilvl="7" w:tplc="04743E78" w:tentative="1">
      <w:start w:val="1"/>
      <w:numFmt w:val="bullet"/>
      <w:lvlText w:val="•"/>
      <w:lvlJc w:val="left"/>
      <w:pPr>
        <w:tabs>
          <w:tab w:val="num" w:pos="5760"/>
        </w:tabs>
        <w:ind w:left="5760" w:hanging="360"/>
      </w:pPr>
      <w:rPr>
        <w:rFonts w:ascii="Arial" w:hAnsi="Arial" w:hint="default"/>
      </w:rPr>
    </w:lvl>
    <w:lvl w:ilvl="8" w:tplc="DE4A584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5DB"/>
    <w:rsid w:val="0000581F"/>
    <w:rsid w:val="000217CD"/>
    <w:rsid w:val="00027C99"/>
    <w:rsid w:val="00080291"/>
    <w:rsid w:val="00094B0E"/>
    <w:rsid w:val="000D79FF"/>
    <w:rsid w:val="00190255"/>
    <w:rsid w:val="001C19B8"/>
    <w:rsid w:val="002077CE"/>
    <w:rsid w:val="00213401"/>
    <w:rsid w:val="002758EE"/>
    <w:rsid w:val="002B417E"/>
    <w:rsid w:val="002C0456"/>
    <w:rsid w:val="002E6A18"/>
    <w:rsid w:val="00303A31"/>
    <w:rsid w:val="0031609C"/>
    <w:rsid w:val="003431F9"/>
    <w:rsid w:val="00352AC7"/>
    <w:rsid w:val="0035555E"/>
    <w:rsid w:val="0036777E"/>
    <w:rsid w:val="003909E8"/>
    <w:rsid w:val="003973DA"/>
    <w:rsid w:val="003B70AE"/>
    <w:rsid w:val="003C10E7"/>
    <w:rsid w:val="003E2CC9"/>
    <w:rsid w:val="003E5335"/>
    <w:rsid w:val="003E5848"/>
    <w:rsid w:val="00401B71"/>
    <w:rsid w:val="00404033"/>
    <w:rsid w:val="00414F05"/>
    <w:rsid w:val="00416AAE"/>
    <w:rsid w:val="00421576"/>
    <w:rsid w:val="00444B0A"/>
    <w:rsid w:val="004529BB"/>
    <w:rsid w:val="004773DA"/>
    <w:rsid w:val="004857D1"/>
    <w:rsid w:val="004E13A0"/>
    <w:rsid w:val="00500A23"/>
    <w:rsid w:val="005135D7"/>
    <w:rsid w:val="005136E5"/>
    <w:rsid w:val="005352AD"/>
    <w:rsid w:val="005A2ACF"/>
    <w:rsid w:val="005A61D8"/>
    <w:rsid w:val="005C2530"/>
    <w:rsid w:val="005E30DE"/>
    <w:rsid w:val="006019D5"/>
    <w:rsid w:val="00604584"/>
    <w:rsid w:val="00605BEC"/>
    <w:rsid w:val="00607352"/>
    <w:rsid w:val="00607D64"/>
    <w:rsid w:val="00610247"/>
    <w:rsid w:val="006161E2"/>
    <w:rsid w:val="00622F34"/>
    <w:rsid w:val="006256A3"/>
    <w:rsid w:val="00645F9A"/>
    <w:rsid w:val="00653C30"/>
    <w:rsid w:val="00663325"/>
    <w:rsid w:val="00673532"/>
    <w:rsid w:val="00683131"/>
    <w:rsid w:val="00686669"/>
    <w:rsid w:val="006B7824"/>
    <w:rsid w:val="006F68A4"/>
    <w:rsid w:val="0072346D"/>
    <w:rsid w:val="00727616"/>
    <w:rsid w:val="0079643C"/>
    <w:rsid w:val="007B1FD2"/>
    <w:rsid w:val="007D4FA1"/>
    <w:rsid w:val="007E1EC2"/>
    <w:rsid w:val="00802C1C"/>
    <w:rsid w:val="00804F7D"/>
    <w:rsid w:val="00807513"/>
    <w:rsid w:val="00820E16"/>
    <w:rsid w:val="00831F6F"/>
    <w:rsid w:val="008569E7"/>
    <w:rsid w:val="0085788A"/>
    <w:rsid w:val="008B0E76"/>
    <w:rsid w:val="008C7C6F"/>
    <w:rsid w:val="008E641B"/>
    <w:rsid w:val="00906EDF"/>
    <w:rsid w:val="00933449"/>
    <w:rsid w:val="0096566F"/>
    <w:rsid w:val="00971606"/>
    <w:rsid w:val="009A2334"/>
    <w:rsid w:val="009A2CAD"/>
    <w:rsid w:val="009A5B5B"/>
    <w:rsid w:val="009C14B8"/>
    <w:rsid w:val="009C4E88"/>
    <w:rsid w:val="009E0710"/>
    <w:rsid w:val="009F37FE"/>
    <w:rsid w:val="00A329BE"/>
    <w:rsid w:val="00A74F9B"/>
    <w:rsid w:val="00A91CD1"/>
    <w:rsid w:val="00AB697C"/>
    <w:rsid w:val="00AB6A3B"/>
    <w:rsid w:val="00AF7F8D"/>
    <w:rsid w:val="00B23023"/>
    <w:rsid w:val="00B377CC"/>
    <w:rsid w:val="00B47577"/>
    <w:rsid w:val="00B66E54"/>
    <w:rsid w:val="00B738F4"/>
    <w:rsid w:val="00B74F7C"/>
    <w:rsid w:val="00BA34E6"/>
    <w:rsid w:val="00BC2602"/>
    <w:rsid w:val="00BC6308"/>
    <w:rsid w:val="00BD2524"/>
    <w:rsid w:val="00BE5D6B"/>
    <w:rsid w:val="00BF089C"/>
    <w:rsid w:val="00C27C9F"/>
    <w:rsid w:val="00C35690"/>
    <w:rsid w:val="00C47849"/>
    <w:rsid w:val="00C532A6"/>
    <w:rsid w:val="00CD78E4"/>
    <w:rsid w:val="00CF56EB"/>
    <w:rsid w:val="00D21247"/>
    <w:rsid w:val="00D61E81"/>
    <w:rsid w:val="00D872E6"/>
    <w:rsid w:val="00DA1235"/>
    <w:rsid w:val="00DA7B76"/>
    <w:rsid w:val="00DF65DB"/>
    <w:rsid w:val="00E210A9"/>
    <w:rsid w:val="00E3625E"/>
    <w:rsid w:val="00E8229E"/>
    <w:rsid w:val="00EA07AF"/>
    <w:rsid w:val="00EB4C38"/>
    <w:rsid w:val="00EC462C"/>
    <w:rsid w:val="00F32BAA"/>
    <w:rsid w:val="00F511D1"/>
    <w:rsid w:val="00FB17FC"/>
    <w:rsid w:val="00FC3AD2"/>
    <w:rsid w:val="00FD36CE"/>
    <w:rsid w:val="00FE5371"/>
    <w:rsid w:val="00FE5C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5C8D3"/>
  <w15:chartTrackingRefBased/>
  <w15:docId w15:val="{1A6A5501-3436-4FE3-9BD7-17B82B1A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DF65D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DF65DB"/>
    <w:rPr>
      <w:color w:val="0000FF"/>
      <w:u w:val="single"/>
    </w:rPr>
  </w:style>
  <w:style w:type="paragraph" w:styleId="Liststycke">
    <w:name w:val="List Paragraph"/>
    <w:basedOn w:val="Normal"/>
    <w:uiPriority w:val="34"/>
    <w:qFormat/>
    <w:rsid w:val="00DA7B76"/>
    <w:pPr>
      <w:spacing w:after="0" w:line="240" w:lineRule="auto"/>
      <w:ind w:left="720"/>
      <w:contextualSpacing/>
    </w:pPr>
    <w:rPr>
      <w:rFonts w:ascii="Times New Roman" w:eastAsia="Times New Roman" w:hAnsi="Times New Roman" w:cs="Times New Roman"/>
      <w:sz w:val="24"/>
      <w:szCs w:val="24"/>
      <w:lang w:eastAsia="sv-SE"/>
    </w:rPr>
  </w:style>
  <w:style w:type="paragraph" w:customStyle="1" w:styleId="Default">
    <w:name w:val="Default"/>
    <w:rsid w:val="003B70AE"/>
    <w:pPr>
      <w:autoSpaceDE w:val="0"/>
      <w:autoSpaceDN w:val="0"/>
      <w:adjustRightInd w:val="0"/>
      <w:spacing w:after="0" w:line="240" w:lineRule="auto"/>
    </w:pPr>
    <w:rPr>
      <w:rFonts w:ascii="Calibri" w:hAnsi="Calibri" w:cs="Calibri"/>
      <w:color w:val="000000"/>
      <w:sz w:val="24"/>
      <w:szCs w:val="24"/>
    </w:rPr>
  </w:style>
  <w:style w:type="character" w:styleId="Olstomnmnande">
    <w:name w:val="Unresolved Mention"/>
    <w:basedOn w:val="Standardstycketeckensnitt"/>
    <w:uiPriority w:val="99"/>
    <w:semiHidden/>
    <w:unhideWhenUsed/>
    <w:rsid w:val="00663325"/>
    <w:rPr>
      <w:color w:val="605E5C"/>
      <w:shd w:val="clear" w:color="auto" w:fill="E1DFDD"/>
    </w:rPr>
  </w:style>
  <w:style w:type="paragraph" w:styleId="Ballongtext">
    <w:name w:val="Balloon Text"/>
    <w:basedOn w:val="Normal"/>
    <w:link w:val="BallongtextChar"/>
    <w:uiPriority w:val="99"/>
    <w:semiHidden/>
    <w:unhideWhenUsed/>
    <w:rsid w:val="000217C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217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997618">
      <w:bodyDiv w:val="1"/>
      <w:marLeft w:val="0"/>
      <w:marRight w:val="0"/>
      <w:marTop w:val="0"/>
      <w:marBottom w:val="0"/>
      <w:divBdr>
        <w:top w:val="none" w:sz="0" w:space="0" w:color="auto"/>
        <w:left w:val="none" w:sz="0" w:space="0" w:color="auto"/>
        <w:bottom w:val="none" w:sz="0" w:space="0" w:color="auto"/>
        <w:right w:val="none" w:sz="0" w:space="0" w:color="auto"/>
      </w:divBdr>
      <w:divsChild>
        <w:div w:id="938412717">
          <w:marLeft w:val="547"/>
          <w:marRight w:val="0"/>
          <w:marTop w:val="115"/>
          <w:marBottom w:val="0"/>
          <w:divBdr>
            <w:top w:val="none" w:sz="0" w:space="0" w:color="auto"/>
            <w:left w:val="none" w:sz="0" w:space="0" w:color="auto"/>
            <w:bottom w:val="none" w:sz="0" w:space="0" w:color="auto"/>
            <w:right w:val="none" w:sz="0" w:space="0" w:color="auto"/>
          </w:divBdr>
        </w:div>
      </w:divsChild>
    </w:div>
    <w:div w:id="568686749">
      <w:bodyDiv w:val="1"/>
      <w:marLeft w:val="0"/>
      <w:marRight w:val="0"/>
      <w:marTop w:val="0"/>
      <w:marBottom w:val="0"/>
      <w:divBdr>
        <w:top w:val="none" w:sz="0" w:space="0" w:color="auto"/>
        <w:left w:val="none" w:sz="0" w:space="0" w:color="auto"/>
        <w:bottom w:val="none" w:sz="0" w:space="0" w:color="auto"/>
        <w:right w:val="none" w:sz="0" w:space="0" w:color="auto"/>
      </w:divBdr>
      <w:divsChild>
        <w:div w:id="440414617">
          <w:marLeft w:val="547"/>
          <w:marRight w:val="0"/>
          <w:marTop w:val="106"/>
          <w:marBottom w:val="0"/>
          <w:divBdr>
            <w:top w:val="none" w:sz="0" w:space="0" w:color="auto"/>
            <w:left w:val="none" w:sz="0" w:space="0" w:color="auto"/>
            <w:bottom w:val="none" w:sz="0" w:space="0" w:color="auto"/>
            <w:right w:val="none" w:sz="0" w:space="0" w:color="auto"/>
          </w:divBdr>
        </w:div>
        <w:div w:id="1986548976">
          <w:marLeft w:val="547"/>
          <w:marRight w:val="0"/>
          <w:marTop w:val="106"/>
          <w:marBottom w:val="0"/>
          <w:divBdr>
            <w:top w:val="none" w:sz="0" w:space="0" w:color="auto"/>
            <w:left w:val="none" w:sz="0" w:space="0" w:color="auto"/>
            <w:bottom w:val="none" w:sz="0" w:space="0" w:color="auto"/>
            <w:right w:val="none" w:sz="0" w:space="0" w:color="auto"/>
          </w:divBdr>
        </w:div>
      </w:divsChild>
    </w:div>
    <w:div w:id="968321954">
      <w:bodyDiv w:val="1"/>
      <w:marLeft w:val="0"/>
      <w:marRight w:val="0"/>
      <w:marTop w:val="0"/>
      <w:marBottom w:val="0"/>
      <w:divBdr>
        <w:top w:val="none" w:sz="0" w:space="0" w:color="auto"/>
        <w:left w:val="none" w:sz="0" w:space="0" w:color="auto"/>
        <w:bottom w:val="none" w:sz="0" w:space="0" w:color="auto"/>
        <w:right w:val="none" w:sz="0" w:space="0" w:color="auto"/>
      </w:divBdr>
    </w:div>
    <w:div w:id="1039013162">
      <w:bodyDiv w:val="1"/>
      <w:marLeft w:val="0"/>
      <w:marRight w:val="0"/>
      <w:marTop w:val="0"/>
      <w:marBottom w:val="0"/>
      <w:divBdr>
        <w:top w:val="none" w:sz="0" w:space="0" w:color="auto"/>
        <w:left w:val="none" w:sz="0" w:space="0" w:color="auto"/>
        <w:bottom w:val="none" w:sz="0" w:space="0" w:color="auto"/>
        <w:right w:val="none" w:sz="0" w:space="0" w:color="auto"/>
      </w:divBdr>
    </w:div>
    <w:div w:id="1388645175">
      <w:bodyDiv w:val="1"/>
      <w:marLeft w:val="0"/>
      <w:marRight w:val="0"/>
      <w:marTop w:val="0"/>
      <w:marBottom w:val="0"/>
      <w:divBdr>
        <w:top w:val="none" w:sz="0" w:space="0" w:color="auto"/>
        <w:left w:val="none" w:sz="0" w:space="0" w:color="auto"/>
        <w:bottom w:val="none" w:sz="0" w:space="0" w:color="auto"/>
        <w:right w:val="none" w:sz="0" w:space="0" w:color="auto"/>
      </w:divBdr>
    </w:div>
    <w:div w:id="1475097314">
      <w:bodyDiv w:val="1"/>
      <w:marLeft w:val="0"/>
      <w:marRight w:val="0"/>
      <w:marTop w:val="0"/>
      <w:marBottom w:val="0"/>
      <w:divBdr>
        <w:top w:val="none" w:sz="0" w:space="0" w:color="auto"/>
        <w:left w:val="none" w:sz="0" w:space="0" w:color="auto"/>
        <w:bottom w:val="none" w:sz="0" w:space="0" w:color="auto"/>
        <w:right w:val="none" w:sz="0" w:space="0" w:color="auto"/>
      </w:divBdr>
    </w:div>
    <w:div w:id="1647082634">
      <w:bodyDiv w:val="1"/>
      <w:marLeft w:val="0"/>
      <w:marRight w:val="0"/>
      <w:marTop w:val="0"/>
      <w:marBottom w:val="0"/>
      <w:divBdr>
        <w:top w:val="none" w:sz="0" w:space="0" w:color="auto"/>
        <w:left w:val="none" w:sz="0" w:space="0" w:color="auto"/>
        <w:bottom w:val="none" w:sz="0" w:space="0" w:color="auto"/>
        <w:right w:val="none" w:sz="0" w:space="0" w:color="auto"/>
      </w:divBdr>
      <w:divsChild>
        <w:div w:id="1239903943">
          <w:marLeft w:val="547"/>
          <w:marRight w:val="0"/>
          <w:marTop w:val="106"/>
          <w:marBottom w:val="0"/>
          <w:divBdr>
            <w:top w:val="none" w:sz="0" w:space="0" w:color="auto"/>
            <w:left w:val="none" w:sz="0" w:space="0" w:color="auto"/>
            <w:bottom w:val="none" w:sz="0" w:space="0" w:color="auto"/>
            <w:right w:val="none" w:sz="0" w:space="0" w:color="auto"/>
          </w:divBdr>
        </w:div>
        <w:div w:id="1632900860">
          <w:marLeft w:val="547"/>
          <w:marRight w:val="0"/>
          <w:marTop w:val="106"/>
          <w:marBottom w:val="0"/>
          <w:divBdr>
            <w:top w:val="none" w:sz="0" w:space="0" w:color="auto"/>
            <w:left w:val="none" w:sz="0" w:space="0" w:color="auto"/>
            <w:bottom w:val="none" w:sz="0" w:space="0" w:color="auto"/>
            <w:right w:val="none" w:sz="0" w:space="0" w:color="auto"/>
          </w:divBdr>
        </w:div>
      </w:divsChild>
    </w:div>
    <w:div w:id="1710177762">
      <w:bodyDiv w:val="1"/>
      <w:marLeft w:val="0"/>
      <w:marRight w:val="0"/>
      <w:marTop w:val="0"/>
      <w:marBottom w:val="0"/>
      <w:divBdr>
        <w:top w:val="none" w:sz="0" w:space="0" w:color="auto"/>
        <w:left w:val="none" w:sz="0" w:space="0" w:color="auto"/>
        <w:bottom w:val="none" w:sz="0" w:space="0" w:color="auto"/>
        <w:right w:val="none" w:sz="0" w:space="0" w:color="auto"/>
      </w:divBdr>
      <w:divsChild>
        <w:div w:id="1596356132">
          <w:marLeft w:val="547"/>
          <w:marRight w:val="0"/>
          <w:marTop w:val="106"/>
          <w:marBottom w:val="0"/>
          <w:divBdr>
            <w:top w:val="none" w:sz="0" w:space="0" w:color="auto"/>
            <w:left w:val="none" w:sz="0" w:space="0" w:color="auto"/>
            <w:bottom w:val="none" w:sz="0" w:space="0" w:color="auto"/>
            <w:right w:val="none" w:sz="0" w:space="0" w:color="auto"/>
          </w:divBdr>
        </w:div>
        <w:div w:id="98570674">
          <w:marLeft w:val="547"/>
          <w:marRight w:val="0"/>
          <w:marTop w:val="106"/>
          <w:marBottom w:val="0"/>
          <w:divBdr>
            <w:top w:val="none" w:sz="0" w:space="0" w:color="auto"/>
            <w:left w:val="none" w:sz="0" w:space="0" w:color="auto"/>
            <w:bottom w:val="none" w:sz="0" w:space="0" w:color="auto"/>
            <w:right w:val="none" w:sz="0" w:space="0" w:color="auto"/>
          </w:divBdr>
        </w:div>
        <w:div w:id="514154530">
          <w:marLeft w:val="547"/>
          <w:marRight w:val="0"/>
          <w:marTop w:val="106"/>
          <w:marBottom w:val="0"/>
          <w:divBdr>
            <w:top w:val="none" w:sz="0" w:space="0" w:color="auto"/>
            <w:left w:val="none" w:sz="0" w:space="0" w:color="auto"/>
            <w:bottom w:val="none" w:sz="0" w:space="0" w:color="auto"/>
            <w:right w:val="none" w:sz="0" w:space="0" w:color="auto"/>
          </w:divBdr>
        </w:div>
        <w:div w:id="237135315">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at.rvn.se/sv/information-och-arbetssatt/vardens-arbetssatt/lakemedel/lakemedelshantering/" TargetMode="External"/><Relationship Id="rId13" Type="http://schemas.openxmlformats.org/officeDocument/2006/relationships/image" Target="media/image6.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s://intranat.rvn.se/sv/information-och-arbetssatt/vardens-arbetssatt/lakemedel/lakemedelshantering/" TargetMode="External"/><Relationship Id="rId20" Type="http://schemas.openxmlformats.org/officeDocument/2006/relationships/hyperlink" Target="mailto:lakemedelskommitten@rvn.se" TargetMode="External"/><Relationship Id="rId1" Type="http://schemas.openxmlformats.org/officeDocument/2006/relationships/numbering" Target="numbering.xml"/><Relationship Id="rId6" Type="http://schemas.openxmlformats.org/officeDocument/2006/relationships/hyperlink" Target="mailto:lakemedelskommitten@rvn.se" TargetMode="External"/><Relationship Id="rId11" Type="http://schemas.openxmlformats.org/officeDocument/2006/relationships/image" Target="media/image4.png"/><Relationship Id="rId5" Type="http://schemas.openxmlformats.org/officeDocument/2006/relationships/hyperlink" Target="mailto:lakemedelskommitten@rvn.se" TargetMode="Externa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hyperlink" Target="mailto:lakemedelskommitten@rvn.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intranat.rvn.se/sv/information-och-arbetssatt/vardens-arbetssatt/lakemedel/lakemedelshantering/lakemedelsservice/"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956</Words>
  <Characters>5073</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Ulrika Edström</dc:creator>
  <cp:keywords/>
  <dc:description/>
  <cp:lastModifiedBy>Carina Nilsson</cp:lastModifiedBy>
  <cp:revision>13</cp:revision>
  <cp:lastPrinted>2019-07-31T11:47:00Z</cp:lastPrinted>
  <dcterms:created xsi:type="dcterms:W3CDTF">2019-11-25T14:06:00Z</dcterms:created>
  <dcterms:modified xsi:type="dcterms:W3CDTF">2019-11-26T13:34:00Z</dcterms:modified>
</cp:coreProperties>
</file>