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7A" w:rsidRPr="0078777A" w:rsidRDefault="0078777A" w:rsidP="0078777A">
      <w:pPr>
        <w:spacing w:before="161" w:after="161" w:line="240" w:lineRule="auto"/>
        <w:outlineLvl w:val="0"/>
        <w:rPr>
          <w:rFonts w:ascii="inherit" w:eastAsia="Times New Roman" w:hAnsi="inherit" w:cs="Helvetica"/>
          <w:color w:val="252525"/>
          <w:kern w:val="36"/>
          <w:sz w:val="48"/>
          <w:szCs w:val="48"/>
          <w:lang w:eastAsia="sv-SE"/>
        </w:rPr>
      </w:pPr>
      <w:bookmarkStart w:id="0" w:name="_GoBack"/>
      <w:bookmarkEnd w:id="0"/>
      <w:r w:rsidRPr="0078777A">
        <w:rPr>
          <w:rFonts w:ascii="inherit" w:eastAsia="Times New Roman" w:hAnsi="inherit" w:cs="Helvetica"/>
          <w:color w:val="252525"/>
          <w:kern w:val="36"/>
          <w:sz w:val="48"/>
          <w:szCs w:val="48"/>
          <w:lang w:eastAsia="sv-SE"/>
        </w:rPr>
        <w:t>Hur man överklagar ett beslut</w:t>
      </w:r>
    </w:p>
    <w:p w:rsidR="0078777A" w:rsidRPr="0078777A" w:rsidRDefault="0078777A" w:rsidP="0078777A">
      <w:pPr>
        <w:spacing w:before="300" w:after="150" w:line="240" w:lineRule="auto"/>
        <w:outlineLvl w:val="1"/>
        <w:rPr>
          <w:rFonts w:ascii="inherit" w:eastAsia="Times New Roman" w:hAnsi="inherit" w:cs="Helvetica"/>
          <w:color w:val="252525"/>
          <w:sz w:val="45"/>
          <w:szCs w:val="45"/>
          <w:lang w:eastAsia="sv-SE"/>
        </w:rPr>
      </w:pPr>
      <w:r w:rsidRPr="0078777A">
        <w:rPr>
          <w:rFonts w:ascii="inherit" w:eastAsia="Times New Roman" w:hAnsi="inherit" w:cs="Helvetica"/>
          <w:color w:val="252525"/>
          <w:sz w:val="45"/>
          <w:szCs w:val="45"/>
          <w:lang w:eastAsia="sv-SE"/>
        </w:rPr>
        <w:t>Vem som får överklaga</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Varje medlem av en kommun eller ett landsting har rätt att få lagligheten av kommunens eller landstingets beslut prövad genom att överklaga beslutet till förvaltningsrätten.</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Lagligheten av en gemensam nämnds beslut får överklagas på samma sätt av varje medlem av de samverkande kommunerna och landstingen.</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Lagligheten av ett kommunalförbunds beslut får överklagas på samma sätt av varje medlem av de kommuner eller landsting som ingår i kommunalförbundet samt av förbundsmedlemmarna.</w:t>
      </w:r>
    </w:p>
    <w:p w:rsidR="0078777A" w:rsidRPr="0078777A" w:rsidRDefault="0078777A" w:rsidP="0078777A">
      <w:pPr>
        <w:spacing w:before="300" w:after="150" w:line="240" w:lineRule="auto"/>
        <w:outlineLvl w:val="1"/>
        <w:rPr>
          <w:rFonts w:ascii="inherit" w:eastAsia="Times New Roman" w:hAnsi="inherit" w:cs="Helvetica"/>
          <w:color w:val="252525"/>
          <w:sz w:val="45"/>
          <w:szCs w:val="45"/>
          <w:lang w:eastAsia="sv-SE"/>
        </w:rPr>
      </w:pPr>
      <w:r w:rsidRPr="0078777A">
        <w:rPr>
          <w:rFonts w:ascii="inherit" w:eastAsia="Times New Roman" w:hAnsi="inherit" w:cs="Helvetica"/>
          <w:color w:val="252525"/>
          <w:sz w:val="45"/>
          <w:szCs w:val="45"/>
          <w:lang w:eastAsia="sv-SE"/>
        </w:rPr>
        <w:t>Vilka beslut som får överklagas</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Följande beslut får överklagas:</w:t>
      </w:r>
    </w:p>
    <w:p w:rsidR="0078777A" w:rsidRPr="0078777A" w:rsidRDefault="0078777A" w:rsidP="0078777A">
      <w:pPr>
        <w:numPr>
          <w:ilvl w:val="0"/>
          <w:numId w:val="1"/>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beslut av fullmäktige eller den beslutande församlingen i ett kommunalförbund,</w:t>
      </w:r>
    </w:p>
    <w:p w:rsidR="0078777A" w:rsidRPr="0078777A" w:rsidRDefault="0078777A" w:rsidP="0078777A">
      <w:pPr>
        <w:numPr>
          <w:ilvl w:val="0"/>
          <w:numId w:val="1"/>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beslut av en nämnd eller ett partssammansatt organ, om beslutet inte är av rent förberedande eller rent verkställande art,</w:t>
      </w:r>
    </w:p>
    <w:p w:rsidR="0078777A" w:rsidRPr="0078777A" w:rsidRDefault="0078777A" w:rsidP="0078777A">
      <w:pPr>
        <w:numPr>
          <w:ilvl w:val="0"/>
          <w:numId w:val="1"/>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beslut av förbundsstyrelsen eller en annan nämnd eller ett partssammansatt organ i ett kommunalförbund, om beslutet inte är av rent förberedande eller rent verkställande art, och</w:t>
      </w:r>
    </w:p>
    <w:p w:rsidR="0078777A" w:rsidRPr="0078777A" w:rsidRDefault="0078777A" w:rsidP="0078777A">
      <w:pPr>
        <w:numPr>
          <w:ilvl w:val="0"/>
          <w:numId w:val="1"/>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sådana beslut av revisorerna som avses i 12 kap. 11 § KL.</w:t>
      </w:r>
    </w:p>
    <w:p w:rsidR="0078777A" w:rsidRPr="0078777A" w:rsidRDefault="0078777A" w:rsidP="0078777A">
      <w:pPr>
        <w:spacing w:before="300" w:after="150" w:line="240" w:lineRule="auto"/>
        <w:outlineLvl w:val="1"/>
        <w:rPr>
          <w:rFonts w:ascii="inherit" w:eastAsia="Times New Roman" w:hAnsi="inherit" w:cs="Helvetica"/>
          <w:color w:val="252525"/>
          <w:sz w:val="45"/>
          <w:szCs w:val="45"/>
          <w:lang w:eastAsia="sv-SE"/>
        </w:rPr>
      </w:pPr>
      <w:r w:rsidRPr="0078777A">
        <w:rPr>
          <w:rFonts w:ascii="inherit" w:eastAsia="Times New Roman" w:hAnsi="inherit" w:cs="Helvetica"/>
          <w:color w:val="252525"/>
          <w:sz w:val="45"/>
          <w:szCs w:val="45"/>
          <w:lang w:eastAsia="sv-SE"/>
        </w:rPr>
        <w:t>Hur besluten överklagas</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Ett beslut överklagas skriftligt.</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I överklagandet ska klaganden ange vilket beslut som överklagas och de omständigheter som överklagandet grundas på.</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Överklagandet ska ges in till förvaltningsrätten.</w:t>
      </w:r>
    </w:p>
    <w:p w:rsidR="0078777A" w:rsidRPr="0078777A" w:rsidRDefault="0078777A" w:rsidP="0078777A">
      <w:pPr>
        <w:spacing w:before="300" w:after="150" w:line="240" w:lineRule="auto"/>
        <w:outlineLvl w:val="1"/>
        <w:rPr>
          <w:rFonts w:ascii="inherit" w:eastAsia="Times New Roman" w:hAnsi="inherit" w:cs="Helvetica"/>
          <w:color w:val="252525"/>
          <w:sz w:val="45"/>
          <w:szCs w:val="45"/>
          <w:lang w:eastAsia="sv-SE"/>
        </w:rPr>
      </w:pPr>
      <w:r w:rsidRPr="0078777A">
        <w:rPr>
          <w:rFonts w:ascii="inherit" w:eastAsia="Times New Roman" w:hAnsi="inherit" w:cs="Helvetica"/>
          <w:color w:val="252525"/>
          <w:sz w:val="45"/>
          <w:szCs w:val="45"/>
          <w:lang w:eastAsia="sv-SE"/>
        </w:rPr>
        <w:t>Tiden för överklagande</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Överklagandet ska ha kommit in till förvaltningsrätten inom tre veckor från den dag då det tillkännagavs på kommunens, landstingets eller kommunalförbundets anslagstavla att protokollet över beslutet justerats. Tiden för överklagande av en gemensam nämnds beslut räknas från det att tillkännagivandet skett på anslagstavlorna i samtliga samverkande kommuner och landsting.</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Tillkännagivandet av protokollsjusteringen måste finnas på anslagstavlan under hela överklagandetiden för att tiden ska löpa ut.</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lastRenderedPageBreak/>
        <w:t>Om överklagandet före överklagandetidens utgång har kommit in till kommunen, landstinget eller kommunalförbundet i stället för till förvaltningsrätten, ska överklagandet ändå prövas. Detsamma gäller när överklagandet av en gemensam nämnds beslut kommit in till någon av de samverkande kommunerna eller landstingen.</w:t>
      </w:r>
    </w:p>
    <w:p w:rsidR="0078777A" w:rsidRPr="0078777A" w:rsidRDefault="0078777A" w:rsidP="0078777A">
      <w:pPr>
        <w:spacing w:before="300" w:after="150" w:line="240" w:lineRule="auto"/>
        <w:outlineLvl w:val="1"/>
        <w:rPr>
          <w:rFonts w:ascii="inherit" w:eastAsia="Times New Roman" w:hAnsi="inherit" w:cs="Helvetica"/>
          <w:color w:val="252525"/>
          <w:sz w:val="45"/>
          <w:szCs w:val="45"/>
          <w:lang w:eastAsia="sv-SE"/>
        </w:rPr>
      </w:pPr>
      <w:r w:rsidRPr="0078777A">
        <w:rPr>
          <w:rFonts w:ascii="inherit" w:eastAsia="Times New Roman" w:hAnsi="inherit" w:cs="Helvetica"/>
          <w:color w:val="252525"/>
          <w:sz w:val="45"/>
          <w:szCs w:val="45"/>
          <w:lang w:eastAsia="sv-SE"/>
        </w:rPr>
        <w:t>Grunder för upphävande av besluten</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Vid prövningen av överklagandet får domstolen inte beakta andra omständigheter än sådana som klaganden har hänvisat till före överklagandetidens utgång.</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Ett överklagat beslut ska upphävas, om</w:t>
      </w:r>
    </w:p>
    <w:p w:rsidR="0078777A" w:rsidRPr="0078777A" w:rsidRDefault="0078777A" w:rsidP="0078777A">
      <w:pPr>
        <w:numPr>
          <w:ilvl w:val="0"/>
          <w:numId w:val="2"/>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det inte har kommit till på lagligt sätt,</w:t>
      </w:r>
    </w:p>
    <w:p w:rsidR="0078777A" w:rsidRPr="0078777A" w:rsidRDefault="0078777A" w:rsidP="0078777A">
      <w:pPr>
        <w:numPr>
          <w:ilvl w:val="0"/>
          <w:numId w:val="2"/>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beslutet rör något som inte är en angelägenhet för kommunen eller landstinget,</w:t>
      </w:r>
    </w:p>
    <w:p w:rsidR="0078777A" w:rsidRPr="0078777A" w:rsidRDefault="0078777A" w:rsidP="0078777A">
      <w:pPr>
        <w:numPr>
          <w:ilvl w:val="0"/>
          <w:numId w:val="2"/>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det organ som har fattat beslutet inte har haft rätt att göra det, eller</w:t>
      </w:r>
    </w:p>
    <w:p w:rsidR="0078777A" w:rsidRPr="0078777A" w:rsidRDefault="0078777A" w:rsidP="0078777A">
      <w:pPr>
        <w:numPr>
          <w:ilvl w:val="0"/>
          <w:numId w:val="2"/>
        </w:numPr>
        <w:spacing w:before="100" w:beforeAutospacing="1" w:after="100" w:afterAutospacing="1" w:line="240" w:lineRule="auto"/>
        <w:ind w:left="495"/>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beslutet annars strider mot lag eller annan författning.</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Första stycket 3 och 4 gäller inte beslut enligt 11 kap. 5 § andra och tredje styckena samt 12 och 13 §§ och beslut om att använda medel från en resultatutjämningsreserv enligt 14 §.</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Domstolen får inte ersätta det överklagade beslutet med något annat beslut.</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Om ett fel har saknat betydelse för ärendets utgång, behöver beslutet inte upphävas. Detsamma gäller om beslutet har förlorat sin betydelse till följd av senare inträffade förhållanden.</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Bestämmelser om hur förvaltningsrättens beslut överklagas finns i förvaltningsprocesslagen (</w:t>
      </w:r>
      <w:proofErr w:type="gramStart"/>
      <w:r w:rsidRPr="0078777A">
        <w:rPr>
          <w:rFonts w:ascii="MuseoSans_500" w:eastAsia="Times New Roman" w:hAnsi="MuseoSans_500" w:cs="Helvetica"/>
          <w:color w:val="000000"/>
          <w:sz w:val="24"/>
          <w:szCs w:val="24"/>
          <w:lang w:eastAsia="sv-SE"/>
        </w:rPr>
        <w:t>1971:291 )</w:t>
      </w:r>
      <w:proofErr w:type="gramEnd"/>
      <w:r w:rsidRPr="0078777A">
        <w:rPr>
          <w:rFonts w:ascii="MuseoSans_500" w:eastAsia="Times New Roman" w:hAnsi="MuseoSans_500" w:cs="Helvetica"/>
          <w:color w:val="000000"/>
          <w:sz w:val="24"/>
          <w:szCs w:val="24"/>
          <w:lang w:eastAsia="sv-SE"/>
        </w:rPr>
        <w:t>.</w:t>
      </w:r>
    </w:p>
    <w:p w:rsidR="0078777A" w:rsidRPr="0078777A" w:rsidRDefault="0078777A" w:rsidP="0078777A">
      <w:pPr>
        <w:spacing w:after="150" w:line="240" w:lineRule="auto"/>
        <w:rPr>
          <w:rFonts w:ascii="MuseoSans_500" w:eastAsia="Times New Roman" w:hAnsi="MuseoSans_500" w:cs="Helvetica"/>
          <w:color w:val="000000"/>
          <w:sz w:val="24"/>
          <w:szCs w:val="24"/>
          <w:lang w:eastAsia="sv-SE"/>
        </w:rPr>
      </w:pPr>
      <w:r w:rsidRPr="0078777A">
        <w:rPr>
          <w:rFonts w:ascii="MuseoSans_500" w:eastAsia="Times New Roman" w:hAnsi="MuseoSans_500" w:cs="Helvetica"/>
          <w:color w:val="000000"/>
          <w:sz w:val="24"/>
          <w:szCs w:val="24"/>
          <w:lang w:eastAsia="sv-SE"/>
        </w:rPr>
        <w:t>Prövningstillstånd krävs vid överklagande till kammarrätten.</w:t>
      </w:r>
    </w:p>
    <w:p w:rsidR="0078777A" w:rsidRPr="0078777A" w:rsidRDefault="00C320BB" w:rsidP="0078777A">
      <w:pPr>
        <w:spacing w:after="150" w:line="240" w:lineRule="auto"/>
        <w:rPr>
          <w:rFonts w:ascii="MuseoSans_500" w:eastAsia="Times New Roman" w:hAnsi="MuseoSans_500" w:cs="Helvetica"/>
          <w:color w:val="000000"/>
          <w:sz w:val="24"/>
          <w:szCs w:val="24"/>
          <w:lang w:eastAsia="sv-SE"/>
        </w:rPr>
      </w:pPr>
      <w:hyperlink r:id="rId5" w:history="1">
        <w:r w:rsidR="0078777A" w:rsidRPr="0078777A">
          <w:rPr>
            <w:rFonts w:ascii="MuseoSans_500" w:eastAsia="Times New Roman" w:hAnsi="MuseoSans_500" w:cs="Helvetica"/>
            <w:color w:val="000000"/>
            <w:sz w:val="24"/>
            <w:szCs w:val="24"/>
            <w:lang w:eastAsia="sv-SE"/>
          </w:rPr>
          <w:t>Närmare bestämmelser om laglighetsprövning finns i 13 kap. kommunallagen</w:t>
        </w:r>
      </w:hyperlink>
      <w:r w:rsidR="0078777A" w:rsidRPr="0078777A">
        <w:rPr>
          <w:rFonts w:ascii="MuseoSans_500" w:eastAsia="Times New Roman" w:hAnsi="MuseoSans_500" w:cs="Helvetica"/>
          <w:color w:val="000000"/>
          <w:sz w:val="24"/>
          <w:szCs w:val="24"/>
          <w:lang w:eastAsia="sv-SE"/>
        </w:rPr>
        <w:t> </w:t>
      </w:r>
    </w:p>
    <w:p w:rsidR="0060565B" w:rsidRDefault="00C320BB"/>
    <w:sectPr w:rsidR="006056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useoSans_500">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326E"/>
    <w:multiLevelType w:val="multilevel"/>
    <w:tmpl w:val="D6006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4A5B94"/>
    <w:multiLevelType w:val="multilevel"/>
    <w:tmpl w:val="F1AE2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77A"/>
    <w:rsid w:val="001300B2"/>
    <w:rsid w:val="00371BAE"/>
    <w:rsid w:val="0078777A"/>
    <w:rsid w:val="00804943"/>
    <w:rsid w:val="00C320BB"/>
    <w:rsid w:val="00DE01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9810"/>
  <w15:chartTrackingRefBased/>
  <w15:docId w15:val="{0A8C6738-7367-4636-816A-0FE257652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78777A"/>
    <w:pPr>
      <w:spacing w:before="161" w:after="161" w:line="240" w:lineRule="auto"/>
      <w:outlineLvl w:val="0"/>
    </w:pPr>
    <w:rPr>
      <w:rFonts w:ascii="inherit" w:eastAsia="Times New Roman" w:hAnsi="inherit" w:cs="Times New Roman"/>
      <w:color w:val="252525"/>
      <w:kern w:val="36"/>
      <w:sz w:val="48"/>
      <w:szCs w:val="48"/>
      <w:lang w:eastAsia="sv-SE"/>
    </w:rPr>
  </w:style>
  <w:style w:type="paragraph" w:styleId="Rubrik2">
    <w:name w:val="heading 2"/>
    <w:basedOn w:val="Normal"/>
    <w:link w:val="Rubrik2Char"/>
    <w:uiPriority w:val="9"/>
    <w:qFormat/>
    <w:rsid w:val="0078777A"/>
    <w:pPr>
      <w:spacing w:before="300" w:after="150" w:line="240" w:lineRule="auto"/>
      <w:outlineLvl w:val="1"/>
    </w:pPr>
    <w:rPr>
      <w:rFonts w:ascii="inherit" w:eastAsia="Times New Roman" w:hAnsi="inherit" w:cs="Times New Roman"/>
      <w:color w:val="252525"/>
      <w:sz w:val="45"/>
      <w:szCs w:val="4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8777A"/>
    <w:rPr>
      <w:rFonts w:ascii="inherit" w:eastAsia="Times New Roman" w:hAnsi="inherit" w:cs="Times New Roman"/>
      <w:color w:val="252525"/>
      <w:kern w:val="36"/>
      <w:sz w:val="48"/>
      <w:szCs w:val="48"/>
      <w:lang w:eastAsia="sv-SE"/>
    </w:rPr>
  </w:style>
  <w:style w:type="character" w:customStyle="1" w:styleId="Rubrik2Char">
    <w:name w:val="Rubrik 2 Char"/>
    <w:basedOn w:val="Standardstycketeckensnitt"/>
    <w:link w:val="Rubrik2"/>
    <w:uiPriority w:val="9"/>
    <w:rsid w:val="0078777A"/>
    <w:rPr>
      <w:rFonts w:ascii="inherit" w:eastAsia="Times New Roman" w:hAnsi="inherit" w:cs="Times New Roman"/>
      <w:color w:val="252525"/>
      <w:sz w:val="45"/>
      <w:szCs w:val="45"/>
      <w:lang w:eastAsia="sv-SE"/>
    </w:rPr>
  </w:style>
  <w:style w:type="character" w:styleId="Hyperlnk">
    <w:name w:val="Hyperlink"/>
    <w:basedOn w:val="Standardstycketeckensnitt"/>
    <w:uiPriority w:val="99"/>
    <w:semiHidden/>
    <w:unhideWhenUsed/>
    <w:rsid w:val="0078777A"/>
    <w:rPr>
      <w:strike w:val="0"/>
      <w:dstrike w:val="0"/>
      <w:color w:val="000000"/>
      <w:u w:val="none"/>
      <w:effect w:val="none"/>
      <w:shd w:val="clear" w:color="auto" w:fill="auto"/>
    </w:rPr>
  </w:style>
  <w:style w:type="paragraph" w:styleId="Normalwebb">
    <w:name w:val="Normal (Web)"/>
    <w:basedOn w:val="Normal"/>
    <w:uiPriority w:val="99"/>
    <w:semiHidden/>
    <w:unhideWhenUsed/>
    <w:rsid w:val="0078777A"/>
    <w:pPr>
      <w:spacing w:after="150"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74845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62">
          <w:marLeft w:val="0"/>
          <w:marRight w:val="0"/>
          <w:marTop w:val="0"/>
          <w:marBottom w:val="0"/>
          <w:divBdr>
            <w:top w:val="none" w:sz="0" w:space="0" w:color="auto"/>
            <w:left w:val="none" w:sz="0" w:space="0" w:color="auto"/>
            <w:bottom w:val="none" w:sz="0" w:space="0" w:color="auto"/>
            <w:right w:val="none" w:sz="0" w:space="0" w:color="auto"/>
          </w:divBdr>
          <w:divsChild>
            <w:div w:id="1304501569">
              <w:marLeft w:val="-225"/>
              <w:marRight w:val="-225"/>
              <w:marTop w:val="0"/>
              <w:marBottom w:val="0"/>
              <w:divBdr>
                <w:top w:val="none" w:sz="0" w:space="0" w:color="auto"/>
                <w:left w:val="none" w:sz="0" w:space="0" w:color="auto"/>
                <w:bottom w:val="none" w:sz="0" w:space="0" w:color="auto"/>
                <w:right w:val="none" w:sz="0" w:space="0" w:color="auto"/>
              </w:divBdr>
              <w:divsChild>
                <w:div w:id="1063529077">
                  <w:marLeft w:val="0"/>
                  <w:marRight w:val="0"/>
                  <w:marTop w:val="0"/>
                  <w:marBottom w:val="0"/>
                  <w:divBdr>
                    <w:top w:val="none" w:sz="0" w:space="0" w:color="auto"/>
                    <w:left w:val="none" w:sz="0" w:space="0" w:color="auto"/>
                    <w:bottom w:val="none" w:sz="0" w:space="0" w:color="auto"/>
                    <w:right w:val="none" w:sz="0" w:space="0" w:color="auto"/>
                  </w:divBdr>
                  <w:divsChild>
                    <w:div w:id="1043481596">
                      <w:marLeft w:val="0"/>
                      <w:marRight w:val="0"/>
                      <w:marTop w:val="0"/>
                      <w:marBottom w:val="0"/>
                      <w:divBdr>
                        <w:top w:val="none" w:sz="0" w:space="0" w:color="auto"/>
                        <w:left w:val="none" w:sz="0" w:space="0" w:color="auto"/>
                        <w:bottom w:val="none" w:sz="0" w:space="0" w:color="auto"/>
                        <w:right w:val="none" w:sz="0" w:space="0" w:color="auto"/>
                      </w:divBdr>
                      <w:divsChild>
                        <w:div w:id="17664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ksdagen.se/sv/dokument-lagar/dokument/svensk-forfattningssamling/kommunallag-2017725_sfs-2017-725"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538</Words>
  <Characters>2856</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Åsberg</dc:creator>
  <cp:keywords/>
  <dc:description/>
  <cp:lastModifiedBy>Tobias Åsberg</cp:lastModifiedBy>
  <cp:revision>2</cp:revision>
  <dcterms:created xsi:type="dcterms:W3CDTF">2018-04-05T09:03:00Z</dcterms:created>
  <dcterms:modified xsi:type="dcterms:W3CDTF">2018-04-05T09:12:00Z</dcterms:modified>
</cp:coreProperties>
</file>